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CA3E">
      <w:pPr>
        <w:jc w:val="center"/>
        <w:rPr>
          <w:lang w:val="ru-RU"/>
        </w:rPr>
      </w:pPr>
      <w:r>
        <w:rPr>
          <w:b/>
          <w:sz w:val="32"/>
          <w:lang w:val="ru-RU"/>
        </w:rPr>
        <w:t>ПОЛИТИКА КОНФИДЕНЦИАЛЬНОСТИ И ОБРАБОТКИ ПЕРСОНАЛЬНЫХ ДАННЫХ</w:t>
      </w:r>
      <w:r>
        <w:rPr>
          <w:b/>
          <w:sz w:val="32"/>
          <w:lang w:val="ru-RU"/>
        </w:rPr>
        <w:br w:type="textWrapping"/>
      </w:r>
      <w:r>
        <w:rPr>
          <w:b/>
          <w:sz w:val="32"/>
          <w:lang w:val="ru-RU"/>
        </w:rPr>
        <w:t xml:space="preserve">для пользователей платформы </w:t>
      </w:r>
      <w:r>
        <w:rPr>
          <w:b/>
          <w:sz w:val="32"/>
        </w:rPr>
        <w:t>Tenders</w:t>
      </w:r>
      <w:r>
        <w:rPr>
          <w:b/>
          <w:sz w:val="32"/>
          <w:lang w:val="ru-RU"/>
        </w:rPr>
        <w:t>-</w:t>
      </w:r>
      <w:r>
        <w:rPr>
          <w:b/>
          <w:sz w:val="32"/>
        </w:rPr>
        <w:t>AI</w:t>
      </w:r>
    </w:p>
    <w:p w14:paraId="17FD91FB">
      <w:pPr>
        <w:rPr>
          <w:lang w:val="ru-RU"/>
        </w:rPr>
      </w:pPr>
      <w:r>
        <w:rPr>
          <w:lang w:val="ru-RU"/>
        </w:rPr>
        <w:t>Город: Москва</w:t>
      </w:r>
    </w:p>
    <w:p w14:paraId="75D5FB8F">
      <w:pPr>
        <w:rPr>
          <w:lang w:val="ru-RU"/>
        </w:rPr>
      </w:pPr>
      <w:r>
        <w:rPr>
          <w:lang w:val="ru-RU"/>
        </w:rPr>
        <w:t>Редакция от: «16» сентября 2025 г.</w:t>
      </w:r>
    </w:p>
    <w:p w14:paraId="2D2091B0">
      <w:pPr>
        <w:rPr>
          <w:lang w:val="ru-RU"/>
        </w:rPr>
      </w:pPr>
      <w:r>
        <w:rPr>
          <w:lang w:val="ru-RU"/>
        </w:rPr>
        <w:t>Настоящая Политика описывает, как ООО «ТЕНДЕРСАИ» (далее — «Оператор», «мы», «Платформа», «</w:t>
      </w:r>
      <w:r>
        <w:t>Tenders</w:t>
      </w:r>
      <w:r>
        <w:rPr>
          <w:lang w:val="ru-RU"/>
        </w:rPr>
        <w:t>-</w:t>
      </w:r>
      <w:r>
        <w:t>AI</w:t>
      </w:r>
      <w:r>
        <w:rPr>
          <w:lang w:val="ru-RU"/>
        </w:rPr>
        <w:t>») собирает и обрабатывает персональные данные физических лиц — представителей клиентов, партнёров и посетителей сайта/Платформы. Политика разработана в соответствии с законодательством Российской Федерации, включая Федеральный закон № 152-ФЗ «О персональных данных», № 242-ФЗ (локализация) и иными применимыми актами. Присоединяясь к Платформе, вы подтверждаете ознакомление с данной Политикой и согласие с её условиями.</w:t>
      </w:r>
    </w:p>
    <w:p w14:paraId="5581E6C7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1. Термины и роли</w:t>
      </w:r>
    </w:p>
    <w:p w14:paraId="737F31F6">
      <w:pPr>
        <w:rPr>
          <w:lang w:val="ru-RU"/>
        </w:rPr>
      </w:pPr>
      <w:r>
        <w:rPr>
          <w:lang w:val="ru-RU"/>
        </w:rPr>
        <w:t>«Персональные данные (ПДн)» — любая информация, относящаяся к прямо или косвенно определённому или определяемому физическому лицу (субъекту ПДн).</w:t>
      </w:r>
    </w:p>
    <w:p w14:paraId="71ACAA1E">
      <w:pPr>
        <w:rPr>
          <w:lang w:val="ru-RU"/>
        </w:rPr>
      </w:pPr>
      <w:r>
        <w:rPr>
          <w:lang w:val="ru-RU"/>
        </w:rPr>
        <w:t>«Обработка ПДн» — любое действие (операция) или совокупность действий с ПДн,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8073591">
      <w:pPr>
        <w:rPr>
          <w:lang w:val="ru-RU"/>
        </w:rPr>
      </w:pPr>
      <w:r>
        <w:rPr>
          <w:lang w:val="ru-RU"/>
        </w:rPr>
        <w:t xml:space="preserve">«Оператор ПДн» — ООО «ТЕНДЕРСАИ» (ОГРН: </w:t>
      </w:r>
      <w:r>
        <w:rPr>
          <w:rFonts w:hint="default"/>
          <w:lang w:val="ru-RU"/>
        </w:rPr>
        <w:t>1257700238950</w:t>
      </w:r>
      <w:r>
        <w:rPr>
          <w:lang w:val="ru-RU"/>
        </w:rPr>
        <w:t xml:space="preserve">, ИНН: </w:t>
      </w:r>
      <w:r>
        <w:rPr>
          <w:rFonts w:hint="default"/>
          <w:lang w:val="ru-RU"/>
        </w:rPr>
        <w:t>7730337828</w:t>
      </w:r>
      <w:r>
        <w:rPr>
          <w:lang w:val="ru-RU"/>
        </w:rPr>
        <w:t>, КПП:</w:t>
      </w:r>
      <w:r>
        <w:rPr>
          <w:rFonts w:hint="default"/>
          <w:lang w:val="ru-RU"/>
        </w:rPr>
        <w:t xml:space="preserve"> 773001001</w:t>
      </w:r>
      <w:r>
        <w:rPr>
          <w:lang w:val="ru-RU"/>
        </w:rPr>
        <w:t xml:space="preserve">), юридический адрес: </w:t>
      </w:r>
      <w:r>
        <w:rPr>
          <w:rFonts w:hint="default"/>
          <w:lang w:val="ru-RU"/>
        </w:rPr>
        <w:t>121087, РОССИЯ, Г.МОСКВА, ВН.ТЕР.Г. МУНИЦИПАЛЬНЫЙ ОКРУГ ФИЛЕВСКИЙ ПАРК, УЛ БАРКЛАЯ, Д. 6, СТР. 3, ПОМЕЩ. 23Н/3</w:t>
      </w:r>
      <w:r>
        <w:rPr>
          <w:lang w:val="ru-RU"/>
        </w:rPr>
        <w:t xml:space="preserve">; электронная почта для обращений по ПДн: </w:t>
      </w:r>
      <w:r>
        <w:rPr>
          <w:rFonts w:hint="default"/>
          <w:lang w:val="ru-RU"/>
        </w:rPr>
        <w:t>ermi.ilya.v@yandex.ru</w:t>
      </w:r>
    </w:p>
    <w:p w14:paraId="179EA81C">
      <w:pPr>
        <w:rPr>
          <w:lang w:val="ru-RU"/>
        </w:rPr>
      </w:pPr>
      <w:r>
        <w:rPr>
          <w:lang w:val="ru-RU"/>
        </w:rPr>
        <w:t xml:space="preserve">«Платформа/Сервис/Личный кабинет (ЛК)» — программный продукт </w:t>
      </w:r>
      <w:r>
        <w:t>Tenders</w:t>
      </w:r>
      <w:r>
        <w:rPr>
          <w:lang w:val="ru-RU"/>
        </w:rPr>
        <w:t>-</w:t>
      </w:r>
      <w:r>
        <w:t>AI</w:t>
      </w:r>
      <w:r>
        <w:rPr>
          <w:lang w:val="ru-RU"/>
        </w:rPr>
        <w:t xml:space="preserve"> (веб-интерфейс/</w:t>
      </w:r>
      <w:r>
        <w:t>API</w:t>
      </w:r>
      <w:r>
        <w:rPr>
          <w:lang w:val="ru-RU"/>
        </w:rPr>
        <w:t>).</w:t>
      </w:r>
    </w:p>
    <w:p w14:paraId="3CA408FF">
      <w:pPr>
        <w:rPr>
          <w:lang w:val="ru-RU"/>
        </w:rPr>
      </w:pPr>
      <w:r>
        <w:rPr>
          <w:lang w:val="ru-RU"/>
        </w:rPr>
        <w:t>«Клиент» — юридическое лицо или ИП, использующее Платформу; субъектами ПДн являются его представители и контактные лица.</w:t>
      </w:r>
    </w:p>
    <w:p w14:paraId="7BF9FBC5">
      <w:pPr>
        <w:rPr>
          <w:lang w:val="ru-RU"/>
        </w:rPr>
      </w:pPr>
      <w:r>
        <w:rPr>
          <w:lang w:val="ru-RU"/>
        </w:rPr>
        <w:t>«Партнёр/Реферальный партнёр» — лицо, участвующее в реферальной программе.</w:t>
      </w:r>
    </w:p>
    <w:p w14:paraId="403CAC4D">
      <w:pPr>
        <w:rPr>
          <w:lang w:val="ru-RU"/>
        </w:rPr>
      </w:pPr>
      <w:r>
        <w:rPr>
          <w:lang w:val="ru-RU"/>
        </w:rPr>
        <w:t>«Поставщик» — третье лицо, предлагающее товары/работы/услуги Клиенту через Платформу.</w:t>
      </w:r>
    </w:p>
    <w:p w14:paraId="72AAEA00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2. Категории субъектов и состав персональных данных</w:t>
      </w:r>
    </w:p>
    <w:p w14:paraId="21DFEEA6">
      <w:pPr>
        <w:rPr>
          <w:lang w:val="ru-RU"/>
        </w:rPr>
      </w:pPr>
      <w:r>
        <w:rPr>
          <w:lang w:val="ru-RU"/>
        </w:rPr>
        <w:t>2.1. Представители Клиентов/Поставщиков/Партнёров: фамилия, имя, отчество; должность и организация; деловые контакты (</w:t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>, телефон, мессенджер); кабинетные идентификаторы и события в ЛК; история заявок/покупок; платёжные реквизиты индивидуального предпринимателя (при необходимости для взаиморасчётов).</w:t>
      </w:r>
    </w:p>
    <w:p w14:paraId="26D31878">
      <w:pPr>
        <w:rPr>
          <w:lang w:val="ru-RU"/>
        </w:rPr>
      </w:pPr>
      <w:r>
        <w:rPr>
          <w:lang w:val="ru-RU"/>
        </w:rPr>
        <w:t xml:space="preserve">2.2. Посетители сайта/Платформы: идентификаторы устройств/браузеров, </w:t>
      </w:r>
      <w:r>
        <w:t>IP</w:t>
      </w:r>
      <w:r>
        <w:rPr>
          <w:lang w:val="ru-RU"/>
        </w:rPr>
        <w:t xml:space="preserve">-адрес, </w:t>
      </w:r>
      <w:r>
        <w:t>cookies</w:t>
      </w:r>
      <w:r>
        <w:rPr>
          <w:lang w:val="ru-RU"/>
        </w:rPr>
        <w:t xml:space="preserve"> и иные сетевые идентификаторы; дата/время, </w:t>
      </w:r>
      <w:r>
        <w:t>URL</w:t>
      </w:r>
      <w:r>
        <w:rPr>
          <w:lang w:val="ru-RU"/>
        </w:rPr>
        <w:t>-адреса и параметры сессий; история обращений в поддержку.</w:t>
      </w:r>
    </w:p>
    <w:p w14:paraId="0B5E75FC">
      <w:pPr>
        <w:rPr>
          <w:lang w:val="ru-RU"/>
        </w:rPr>
      </w:pPr>
      <w:r>
        <w:rPr>
          <w:lang w:val="ru-RU"/>
        </w:rPr>
        <w:t>2.3. Материалы Клиента (загружаемые ТЗ, документы, изображения) могут содержать ПДн третьих лиц (например, контактные данные). Клиент гарантирует наличие правовых оснований на передачу таких данных Оператору и соблюдение требований закона. Мы обрабатываем эти данные исключительно для оказания услуг по договору.</w:t>
      </w:r>
    </w:p>
    <w:p w14:paraId="41E0F57A">
      <w:pPr>
        <w:rPr>
          <w:lang w:val="ru-RU"/>
        </w:rPr>
      </w:pPr>
      <w:r>
        <w:rPr>
          <w:lang w:val="ru-RU"/>
        </w:rPr>
        <w:t>2.4. Специальные категории ПДн (о здоровье, политических взглядах и т.п.) и биометрические ПДн Оператором намеренно не обрабатываются. Просим не передавать такие сведения через Платформу.</w:t>
      </w:r>
    </w:p>
    <w:p w14:paraId="6E36143F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3. Цели и правовые основания обработки</w:t>
      </w:r>
    </w:p>
    <w:p w14:paraId="2BB3A74E">
      <w:pPr>
        <w:rPr>
          <w:lang w:val="ru-RU"/>
        </w:rPr>
      </w:pPr>
      <w:r>
        <w:rPr>
          <w:lang w:val="ru-RU"/>
        </w:rPr>
        <w:t>3.1. Оказание услуг Платформы (анализ ТЗ, подбор товаров/поставщиков, формирование смет/КП, логистика, агентская модель, реферальная программа), включая регистрацию в ЛК, сопровождение сделок, биллинг и документооборот — на основании договора (акцепта оферты) с соответствующей организацией.</w:t>
      </w:r>
    </w:p>
    <w:p w14:paraId="26261CE6">
      <w:pPr>
        <w:rPr>
          <w:lang w:val="ru-RU"/>
        </w:rPr>
      </w:pPr>
      <w:r>
        <w:rPr>
          <w:lang w:val="ru-RU"/>
        </w:rPr>
        <w:t>3.2. Коммуникации и поддержка (ответы на запросы, уведомления о статусах, инцидентах, плановых работах) — договор/законные интересы обеспечения работоспособности сервиса.</w:t>
      </w:r>
    </w:p>
    <w:p w14:paraId="1F2F7AEC">
      <w:pPr>
        <w:rPr>
          <w:lang w:val="ru-RU"/>
        </w:rPr>
      </w:pPr>
      <w:r>
        <w:rPr>
          <w:lang w:val="ru-RU"/>
        </w:rPr>
        <w:t>3.3. Соблюдение законодательства (бухгалтерский учёт, налоги, претензионная работа, ответ на запросы госорганов) — на основании требований закона.</w:t>
      </w:r>
    </w:p>
    <w:p w14:paraId="7B8B81A1">
      <w:pPr>
        <w:rPr>
          <w:lang w:val="ru-RU"/>
        </w:rPr>
      </w:pPr>
      <w:r>
        <w:rPr>
          <w:lang w:val="ru-RU"/>
        </w:rPr>
        <w:t xml:space="preserve">3.4. Маркетинговые рассылки и приглашения на мероприятия — на основании вашего согласия; вы можете в любой момент отозвать согласие через ЛК или по </w:t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>.</w:t>
      </w:r>
    </w:p>
    <w:p w14:paraId="31F8EBC9">
      <w:pPr>
        <w:rPr>
          <w:lang w:val="ru-RU"/>
        </w:rPr>
      </w:pPr>
      <w:r>
        <w:rPr>
          <w:lang w:val="ru-RU"/>
        </w:rPr>
        <w:t>3.5. Аналитика качества сервиса, разработка и улучшение алгоритмов (в том числе с использованием обезличенных данных), информационная безопасность и предотвращение мошенничества — законные интересы Оператора при условии соблюдения прав субъектов.</w:t>
      </w:r>
    </w:p>
    <w:p w14:paraId="357A3FE2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4. Источники данных</w:t>
      </w:r>
    </w:p>
    <w:p w14:paraId="2DF18DFB">
      <w:pPr>
        <w:rPr>
          <w:lang w:val="ru-RU"/>
        </w:rPr>
      </w:pPr>
      <w:r>
        <w:rPr>
          <w:lang w:val="ru-RU"/>
        </w:rPr>
        <w:t>4.1. Данные, предоставленные вами при регистрации/использовании ЛК, в переписке и при оплате услуг.</w:t>
      </w:r>
    </w:p>
    <w:p w14:paraId="26E09799">
      <w:pPr>
        <w:rPr>
          <w:lang w:val="ru-RU"/>
        </w:rPr>
      </w:pPr>
      <w:r>
        <w:rPr>
          <w:lang w:val="ru-RU"/>
        </w:rPr>
        <w:t>4.2. Данные, переданные Клиентом в отношении своих сотрудников/контрагентов при работе с ТЗ и документами.</w:t>
      </w:r>
    </w:p>
    <w:p w14:paraId="11249204">
      <w:pPr>
        <w:rPr>
          <w:lang w:val="ru-RU"/>
        </w:rPr>
      </w:pPr>
      <w:r>
        <w:rPr>
          <w:lang w:val="ru-RU"/>
        </w:rPr>
        <w:t>4.3. Данные, полученные от уполномоченных партнёров/операторов (платёжные сервисы, логистика, ЭТП и др.) по вашему поручению или с вашего согласия.</w:t>
      </w:r>
    </w:p>
    <w:p w14:paraId="4302573B">
      <w:pPr>
        <w:rPr>
          <w:lang w:val="ru-RU"/>
        </w:rPr>
      </w:pPr>
      <w:r>
        <w:rPr>
          <w:lang w:val="ru-RU"/>
        </w:rPr>
        <w:t>4.4. Публично доступные источники в рамках закона.</w:t>
      </w:r>
    </w:p>
    <w:p w14:paraId="4BD9399D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 xml:space="preserve">5. </w:t>
      </w:r>
      <w:r>
        <w:rPr>
          <w:rFonts w:ascii="Times New Roman" w:hAnsi="Times New Roman" w:eastAsia="Times New Roman"/>
        </w:rPr>
        <w:t>Cookies</w:t>
      </w:r>
      <w:r>
        <w:rPr>
          <w:rFonts w:ascii="Times New Roman" w:hAnsi="Times New Roman" w:eastAsia="Times New Roman"/>
          <w:lang w:val="ru-RU"/>
        </w:rPr>
        <w:t>, идентификаторы и веб-аналитика</w:t>
      </w:r>
    </w:p>
    <w:p w14:paraId="67842B4D">
      <w:pPr>
        <w:rPr>
          <w:lang w:val="ru-RU"/>
        </w:rPr>
      </w:pPr>
      <w:r>
        <w:rPr>
          <w:lang w:val="ru-RU"/>
        </w:rPr>
        <w:t xml:space="preserve">5.1. Мы используем файлы </w:t>
      </w:r>
      <w:r>
        <w:t>cookies</w:t>
      </w:r>
      <w:r>
        <w:rPr>
          <w:lang w:val="ru-RU"/>
        </w:rPr>
        <w:t xml:space="preserve"> и схожие технологии для обеспечения работы сайта/ЛК, а также для аналитики и улучшения пользовательского опыта. Вы можете управлять </w:t>
      </w:r>
      <w:r>
        <w:t>cookies</w:t>
      </w:r>
      <w:r>
        <w:rPr>
          <w:lang w:val="ru-RU"/>
        </w:rPr>
        <w:t xml:space="preserve"> в настройках браузера; отключение может ограничить работу отдельных функций.</w:t>
      </w:r>
    </w:p>
    <w:p w14:paraId="547E1F0F">
      <w:pPr>
        <w:rPr>
          <w:lang w:val="ru-RU"/>
        </w:rPr>
      </w:pPr>
      <w:r>
        <w:rPr>
          <w:lang w:val="ru-RU"/>
        </w:rPr>
        <w:t>5.2. Для статистики и диагностики могут применяться системы веб-аналитики/</w:t>
      </w:r>
      <w:r>
        <w:t>SDK</w:t>
      </w:r>
      <w:r>
        <w:rPr>
          <w:lang w:val="ru-RU"/>
        </w:rPr>
        <w:t>. Объём и условия их обработки регламентируются политиками соответствующих провайдеров.</w:t>
      </w:r>
    </w:p>
    <w:p w14:paraId="057A667B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6. Передача третьим лицам и обработчики</w:t>
      </w:r>
    </w:p>
    <w:p w14:paraId="43BA42F7">
      <w:pPr>
        <w:rPr>
          <w:lang w:val="ru-RU"/>
        </w:rPr>
      </w:pPr>
      <w:r>
        <w:rPr>
          <w:lang w:val="ru-RU"/>
        </w:rPr>
        <w:t>6.1. Мы можем поручать обработку ПДн надёжным лицам-обработчикам (хостинг-провайдеры, платёжные сервисы, операторы связи/почты, системы аналитики, службы техподдержки и безопасности) на основании договоров и при соблюдении требований 152-ФЗ.</w:t>
      </w:r>
    </w:p>
    <w:p w14:paraId="5BA7E61B">
      <w:pPr>
        <w:rPr>
          <w:lang w:val="ru-RU"/>
        </w:rPr>
      </w:pPr>
      <w:r>
        <w:rPr>
          <w:lang w:val="ru-RU"/>
        </w:rPr>
        <w:t>6.2. Передача данных Поставщикам, перевозчикам, ЭТП, банкам/брокерам БГ и иным партнёрам осуществляется только при вашем выборе соответствующей услуги (например, логистика или агентская модель), в объёме, необходимом для исполнения.</w:t>
      </w:r>
    </w:p>
    <w:p w14:paraId="5333749F">
      <w:pPr>
        <w:rPr>
          <w:lang w:val="ru-RU"/>
        </w:rPr>
      </w:pPr>
      <w:r>
        <w:rPr>
          <w:lang w:val="ru-RU"/>
        </w:rPr>
        <w:t>6.3. Также данные могут предоставляться госорганам — в пределах полномочий и по закону; правопреемникам Оператора при реорганизации — при условии соблюдения конфиденциальности.</w:t>
      </w:r>
    </w:p>
    <w:p w14:paraId="780DD74B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7. Локализация и трансграничная передача</w:t>
      </w:r>
    </w:p>
    <w:p w14:paraId="460948CA">
      <w:pPr>
        <w:rPr>
          <w:lang w:val="ru-RU"/>
        </w:rPr>
      </w:pPr>
      <w:r>
        <w:rPr>
          <w:lang w:val="ru-RU"/>
        </w:rPr>
        <w:t>7.1. Первичный сбор и запись ПДн граждан РФ осуществляются с использованием баз данных, находящихся на территории РФ (выполнение требований 242-ФЗ).</w:t>
      </w:r>
    </w:p>
    <w:p w14:paraId="6D3A40A0">
      <w:pPr>
        <w:rPr>
          <w:lang w:val="ru-RU"/>
        </w:rPr>
      </w:pPr>
      <w:r>
        <w:rPr>
          <w:lang w:val="ru-RU"/>
        </w:rPr>
        <w:t>7.2. Трансграничная передача ПДн может осуществляться в страны, обеспечивающие адекватную защиту прав субъектов ПДн, либо при наличии письменного согласия субъекта и/или иных предусмотренных законом гарантий.</w:t>
      </w:r>
    </w:p>
    <w:p w14:paraId="6ECE32C2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8. Сроки хранения</w:t>
      </w:r>
    </w:p>
    <w:p w14:paraId="777E2765">
      <w:pPr>
        <w:rPr>
          <w:lang w:val="ru-RU"/>
        </w:rPr>
      </w:pPr>
      <w:r>
        <w:rPr>
          <w:lang w:val="ru-RU"/>
        </w:rPr>
        <w:t>8.1. ПДн хранятся не дольше, чем этого требуют цели обработки, либо сроки, установленные законом и договором. Обычно: учётные записи и история операций — в течение срока действия договора и 5 лет после; данные заявок поддержки — 3 года; обезличенные данные — без ограничения. Конкретные сроки могут уточняться в интерфейсе ЛК/договорах.</w:t>
      </w:r>
    </w:p>
    <w:p w14:paraId="3DBA55B0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9. Меры защиты</w:t>
      </w:r>
    </w:p>
    <w:p w14:paraId="30760E7D">
      <w:pPr>
        <w:rPr>
          <w:lang w:val="ru-RU"/>
        </w:rPr>
      </w:pPr>
      <w:r>
        <w:rPr>
          <w:lang w:val="ru-RU"/>
        </w:rPr>
        <w:t>9.1. Применяются правовые, организационные и технические меры: разграничение прав доступа; шифрование при передаче; резервное копирование; журналы аудита; обучение персонала; оценка соответствия мер требованиям законодательства и внутренних регламентов.</w:t>
      </w:r>
    </w:p>
    <w:p w14:paraId="3C16AB2D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10. Права субъектов ПДн и способы их реализации</w:t>
      </w:r>
    </w:p>
    <w:p w14:paraId="4CB1A80D">
      <w:pPr>
        <w:rPr>
          <w:lang w:val="ru-RU"/>
        </w:rPr>
      </w:pPr>
      <w:r>
        <w:rPr>
          <w:lang w:val="ru-RU"/>
        </w:rPr>
        <w:t>10.1. Вы вправе требовать: подтверждения факта обработки; доступа к своим ПДн; уточнения, блокирования или уничтожения неверных/неактуальных ПДн; отзыва согласия; ограничений обработки, если это допускается законом; обжалования действий Оператора в Роскомнадзор или суд.</w:t>
      </w:r>
    </w:p>
    <w:p w14:paraId="5688D83B">
      <w:pPr>
        <w:rPr>
          <w:lang w:val="ru-RU"/>
        </w:rPr>
      </w:pPr>
      <w:r>
        <w:rPr>
          <w:lang w:val="ru-RU"/>
        </w:rPr>
        <w:t>10.2. Запрос можно направить через ЛК или на адрес:</w:t>
      </w:r>
      <w:r>
        <w:rPr>
          <w:rFonts w:hint="default"/>
          <w:lang w:val="ru-RU"/>
        </w:rPr>
        <w:t xml:space="preserve"> ermi.ilya.v@yandex.ru. </w:t>
      </w:r>
      <w:r>
        <w:rPr>
          <w:lang w:val="ru-RU"/>
        </w:rPr>
        <w:t>Для защиты ваших данных мы можем запросить дополнительное подтверждение личности.</w:t>
      </w:r>
    </w:p>
    <w:p w14:paraId="5ADC43A5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11. Автоматизированные решения и профилирование</w:t>
      </w:r>
    </w:p>
    <w:p w14:paraId="4F1C0694">
      <w:pPr>
        <w:rPr>
          <w:lang w:val="ru-RU"/>
        </w:rPr>
      </w:pPr>
      <w:r>
        <w:rPr>
          <w:lang w:val="ru-RU"/>
        </w:rPr>
        <w:t>11.1. Отдельные функции Платформы используют автоматическую обработку данных (например, прогноз вероятности победы, подбор товаров/поставщиков). Решения, порождающие юридические последствия для физических лиц, без участия человека не принимаются.</w:t>
      </w:r>
    </w:p>
    <w:p w14:paraId="01353C5A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12. Дети</w:t>
      </w:r>
    </w:p>
    <w:p w14:paraId="72590157">
      <w:pPr>
        <w:rPr>
          <w:lang w:val="ru-RU"/>
        </w:rPr>
      </w:pPr>
      <w:r>
        <w:rPr>
          <w:lang w:val="ru-RU"/>
        </w:rPr>
        <w:t>12.1. Сервис предназначен для бизнеса и не адресован несовершеннолетним. Мы сознательно не собираем ПДн лиц младше 18 лет.</w:t>
      </w:r>
    </w:p>
    <w:p w14:paraId="5B954CBC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13. Обновление Политики</w:t>
      </w:r>
    </w:p>
    <w:p w14:paraId="09AD9D7E">
      <w:pPr>
        <w:rPr>
          <w:lang w:val="ru-RU"/>
        </w:rPr>
      </w:pPr>
      <w:r>
        <w:rPr>
          <w:lang w:val="ru-RU"/>
        </w:rPr>
        <w:t xml:space="preserve">13.1. Мы можем обновлять Политику. Актуальная версия публикуется на сайте/в ЛК и применяется с даты публикации. При существенных изменениях уведомляем через ЛК или по </w:t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>.</w:t>
      </w:r>
    </w:p>
    <w:p w14:paraId="647FB267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14. Реквизиты Оператора</w:t>
      </w:r>
    </w:p>
    <w:p w14:paraId="11EC0C23">
      <w:pPr>
        <w:rPr>
          <w:lang w:val="ru-RU"/>
        </w:rPr>
      </w:pPr>
      <w:r>
        <w:rPr>
          <w:lang w:val="ru-RU"/>
        </w:rPr>
        <w:t>ООО «ТЕНДЕРСАИ»</w:t>
      </w:r>
    </w:p>
    <w:p w14:paraId="279A51B7">
      <w:pPr>
        <w:rPr>
          <w:lang w:val="ru-RU"/>
        </w:rPr>
      </w:pPr>
      <w:r>
        <w:rPr>
          <w:lang w:val="ru-RU"/>
        </w:rPr>
        <w:t xml:space="preserve">ОГРН: </w:t>
      </w:r>
      <w:r>
        <w:rPr>
          <w:rFonts w:hint="default"/>
          <w:lang w:val="ru-RU"/>
        </w:rPr>
        <w:t>1257700238950</w:t>
      </w:r>
      <w:r>
        <w:rPr>
          <w:lang w:val="ru-RU"/>
        </w:rPr>
        <w:t xml:space="preserve"> / ИНН: </w:t>
      </w:r>
      <w:r>
        <w:rPr>
          <w:rFonts w:hint="default"/>
          <w:lang w:val="ru-RU"/>
        </w:rPr>
        <w:t>7730337828</w:t>
      </w:r>
      <w:r>
        <w:rPr>
          <w:lang w:val="ru-RU"/>
        </w:rPr>
        <w:t xml:space="preserve"> / КПП: </w:t>
      </w:r>
      <w:r>
        <w:rPr>
          <w:rFonts w:hint="default"/>
          <w:lang w:val="ru-RU"/>
        </w:rPr>
        <w:t>773001001</w:t>
      </w:r>
    </w:p>
    <w:p w14:paraId="0DE17D73">
      <w:pPr>
        <w:rPr>
          <w:rFonts w:hint="default"/>
          <w:lang w:val="ru-RU"/>
        </w:rPr>
      </w:pPr>
      <w:r>
        <w:rPr>
          <w:lang w:val="ru-RU"/>
        </w:rPr>
        <w:t xml:space="preserve">Юридический адрес: </w:t>
      </w:r>
      <w:r>
        <w:rPr>
          <w:rFonts w:hint="default"/>
          <w:lang w:val="ru-RU"/>
        </w:rPr>
        <w:t>121087, РОССИЯ, Г.МОСКВА, ВН.ТЕР.Г. МУНИЦИПАЛЬНЫЙ ОКРУГ ФИЛЕВСКИЙ ПАРК, УЛ БАРКЛАЯ, Д. 6, СТР. 3, ПОМЕЩ. 23Н/3</w:t>
      </w:r>
    </w:p>
    <w:p w14:paraId="64328F35">
      <w:pPr>
        <w:rPr>
          <w:rFonts w:hint="default"/>
          <w:lang w:val="ru-RU"/>
        </w:rPr>
      </w:pPr>
      <w:r>
        <w:rPr>
          <w:lang w:val="ru-RU"/>
        </w:rPr>
        <w:t>Почта для о</w:t>
      </w:r>
      <w:bookmarkStart w:id="0" w:name="_GoBack"/>
      <w:bookmarkEnd w:id="0"/>
      <w:r>
        <w:rPr>
          <w:lang w:val="ru-RU"/>
        </w:rPr>
        <w:t>бращений по ПДн и претензий:</w:t>
      </w:r>
      <w:r>
        <w:rPr>
          <w:rFonts w:hint="default"/>
          <w:lang w:val="ru-RU"/>
        </w:rPr>
        <w:t xml:space="preserve"> ermi.ilya.v@yandex.ru</w:t>
      </w:r>
    </w:p>
    <w:p w14:paraId="02ACC417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15. Согласие на обработку ПДн (шаблон)</w:t>
      </w:r>
    </w:p>
    <w:p w14:paraId="38EB660C">
      <w:pPr>
        <w:rPr>
          <w:lang w:val="ru-RU"/>
        </w:rPr>
      </w:pPr>
      <w:r>
        <w:rPr>
          <w:lang w:val="ru-RU"/>
        </w:rPr>
        <w:t>Нажимая кнопку «Зарегистрироваться» / «Отправить» либо иным образом передавая ПДн через Платформу, я свободно, своей волей и в своём интересе даю ООО «ТЕНДЕРСАИ» согласие на обработку моих персональных данных в целях регистрации и обслуживания учётной записи, предоставления услуг Платформы, коммуникаций и рассылок (при выборе), включая поручение обработки уполномоченным лицам. Срок действия согласия — до достижения целей обработки или отзыва согласия, если более длительный срок не предусмотрен законом. Я уведомлён(а) о праве отзыва согласия, а также о порядке доступа к Политике.</w:t>
      </w:r>
    </w:p>
    <w:p w14:paraId="39B69CF9">
      <w:pPr>
        <w:pStyle w:val="2"/>
        <w:rPr>
          <w:lang w:val="ru-RU"/>
        </w:rPr>
      </w:pPr>
      <w:r>
        <w:rPr>
          <w:rFonts w:ascii="Times New Roman" w:hAnsi="Times New Roman" w:eastAsia="Times New Roman"/>
          <w:lang w:val="ru-RU"/>
        </w:rPr>
        <w:t>16. Согласие на трансграничную передачу (при необходимости)</w:t>
      </w:r>
    </w:p>
    <w:p w14:paraId="2DB0D94B">
      <w:pPr>
        <w:rPr>
          <w:lang w:val="ru-RU"/>
        </w:rPr>
      </w:pPr>
      <w:r>
        <w:rPr>
          <w:lang w:val="ru-RU"/>
        </w:rPr>
        <w:t>Я даю согласие на трансграничную передачу моих ПДн в государства, обеспечивающие адекватную защиту прав субъектов ПДн, а также в иные государства при наличии необходимых гарантий и мер защиты, исключительно для целей, указанных в Политике. Согласие действует до достижения целей обработки либо его отзыва.</w:t>
      </w:r>
    </w:p>
    <w:p w14:paraId="748CEE1B">
      <w:pPr>
        <w:rPr>
          <w:lang w:val="ru-RU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pdFont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3957"/>
    <w:rsid w:val="00513852"/>
    <w:rsid w:val="005966E0"/>
    <w:rsid w:val="00AA1D8D"/>
    <w:rsid w:val="00B47730"/>
    <w:rsid w:val="00CB0664"/>
    <w:rsid w:val="00FC693F"/>
    <w:rsid w:val="01EA2131"/>
    <w:rsid w:val="37F92A1F"/>
    <w:rsid w:val="4CC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7">
    <w:name w:val="Body Text 2"/>
    <w:basedOn w:val="1"/>
    <w:link w:val="48"/>
    <w:unhideWhenUsed/>
    <w:qFormat/>
    <w:uiPriority w:val="99"/>
    <w:pPr>
      <w:spacing w:after="120" w:line="480" w:lineRule="auto"/>
    </w:pPr>
  </w:style>
  <w:style w:type="paragraph" w:styleId="1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head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Body Text"/>
    <w:basedOn w:val="1"/>
    <w:link w:val="47"/>
    <w:unhideWhenUsed/>
    <w:uiPriority w:val="99"/>
    <w:pPr>
      <w:spacing w:after="120"/>
    </w:pPr>
  </w:style>
  <w:style w:type="paragraph" w:styleId="22">
    <w:name w:val="macro"/>
    <w:link w:val="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6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7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9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1">
    <w:name w:val="Body Text 3"/>
    <w:basedOn w:val="1"/>
    <w:link w:val="49"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33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8">
    <w:name w:val="Верхний колонтитул Знак"/>
    <w:basedOn w:val="11"/>
    <w:link w:val="20"/>
    <w:qFormat/>
    <w:uiPriority w:val="99"/>
  </w:style>
  <w:style w:type="character" w:customStyle="1" w:styleId="39">
    <w:name w:val="Нижний колонтитул Знак"/>
    <w:basedOn w:val="11"/>
    <w:link w:val="27"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Заголовок Знак"/>
    <w:basedOn w:val="11"/>
    <w:link w:val="2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Подзаголовок Знак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Основной текст Знак"/>
    <w:basedOn w:val="11"/>
    <w:link w:val="21"/>
    <w:uiPriority w:val="99"/>
  </w:style>
  <w:style w:type="character" w:customStyle="1" w:styleId="48">
    <w:name w:val="Основной текст 2 Знак"/>
    <w:basedOn w:val="11"/>
    <w:link w:val="17"/>
    <w:qFormat/>
    <w:uiPriority w:val="99"/>
  </w:style>
  <w:style w:type="character" w:customStyle="1" w:styleId="49">
    <w:name w:val="Основной текст 3 Знак"/>
    <w:basedOn w:val="11"/>
    <w:link w:val="31"/>
    <w:qFormat/>
    <w:uiPriority w:val="99"/>
    <w:rPr>
      <w:sz w:val="16"/>
      <w:szCs w:val="16"/>
    </w:rPr>
  </w:style>
  <w:style w:type="character" w:customStyle="1" w:styleId="50">
    <w:name w:val="Текст макроса Знак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Цитата 2 Знак"/>
    <w:basedOn w:val="1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Выделенная цитата Знак"/>
    <w:basedOn w:val="11"/>
    <w:link w:val="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1294</Words>
  <Characters>7380</Characters>
  <Lines>61</Lines>
  <Paragraphs>17</Paragraphs>
  <TotalTime>5</TotalTime>
  <ScaleCrop>false</ScaleCrop>
  <LinksUpToDate>false</LinksUpToDate>
  <CharactersWithSpaces>8657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2025-09-20T11:24:00Z</dcterms:created>
  <dc:creator>python-docx</dc:creator>
  <dc:description>generated by python-docx</dc:description>
  <cp:lastModifiedBy>Lenovo</cp:lastModifiedBy>
  <dcterms:modified xsi:type="dcterms:W3CDTF">2025-11-21T09:26:59Z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BB88C9DEF9944C17AEAEDB924DB28374_13</vt:lpwstr>
  </property>
</Properties>
</file>