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E239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ПУБЛИЧНАЯ ОФЕРТА</w:t>
      </w:r>
    </w:p>
    <w:p w14:paraId="58738F8E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заключение договора об использовании платформы </w:t>
      </w:r>
      <w:r>
        <w:rPr>
          <w:rFonts w:ascii="Times New Roman" w:hAnsi="Times New Roman" w:cs="Times New Roman"/>
        </w:rPr>
        <w:t>Tenders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lang w:val="ru-RU"/>
        </w:rPr>
        <w:t xml:space="preserve"> и оказании сопутствующих услуг</w:t>
      </w:r>
    </w:p>
    <w:p w14:paraId="6457152C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Город: Москва   Редакция от: «16» сентября 2025 г.</w:t>
      </w:r>
    </w:p>
    <w:p w14:paraId="7BD429F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Настоящий документ является публичной офертой (далее — «Оферта») в адрес юридических лиц и индивидуальных предпринимателей (далее «Клиентов») о заключении договора на условиях, изложенных ниже, с ООО «ТЕНДЕРСАИ» </w:t>
      </w:r>
      <w:r>
        <w:rPr>
          <w:rFonts w:ascii="Times New Roman" w:hAnsi="Times New Roman" w:cs="Times New Roman"/>
          <w:highlight w:val="none"/>
          <w:lang w:val="ru-RU"/>
        </w:rPr>
        <w:t>(ОГРН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highlight w:val="none"/>
          <w:lang w:val="ru-RU"/>
        </w:rPr>
        <w:t>1257700238950</w:t>
      </w:r>
      <w:r>
        <w:rPr>
          <w:rFonts w:ascii="Times New Roman" w:hAnsi="Times New Roman" w:cs="Times New Roman"/>
          <w:highlight w:val="none"/>
          <w:lang w:val="ru-RU"/>
        </w:rPr>
        <w:t>/ИНН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highlight w:val="none"/>
          <w:lang w:val="ru-RU"/>
        </w:rPr>
        <w:t>7730337828</w:t>
      </w:r>
      <w:r>
        <w:rPr>
          <w:rFonts w:ascii="Times New Roman" w:hAnsi="Times New Roman" w:cs="Times New Roman"/>
          <w:highlight w:val="none"/>
          <w:lang w:val="ru-RU"/>
        </w:rPr>
        <w:t>/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highlight w:val="none"/>
          <w:lang w:val="ru-RU"/>
        </w:rPr>
        <w:t>КПП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highlight w:val="none"/>
          <w:lang w:val="ru-RU"/>
        </w:rPr>
        <w:t>773001001</w:t>
      </w:r>
      <w:r>
        <w:rPr>
          <w:rFonts w:ascii="Times New Roman" w:hAnsi="Times New Roman" w:cs="Times New Roman"/>
          <w:highlight w:val="none"/>
          <w:lang w:val="ru-RU"/>
        </w:rPr>
        <w:t xml:space="preserve">, </w:t>
      </w:r>
      <w:r>
        <w:rPr>
          <w:rFonts w:hint="default" w:ascii="Times New Roman" w:hAnsi="Times New Roman"/>
          <w:highlight w:val="none"/>
          <w:lang w:val="ru-RU"/>
        </w:rPr>
        <w:t>юридический адрес: 121087, РОССИЯ, Г.МОСКВА, ВН.ТЕР.Г. МУНИЦИПАЛЬНЫЙ ОКРУГ ФИЛЕВСКИЙ ПАРК, УЛ БАРКЛАЯ, Д. 6, СТР. 3, ПОМЕЩ. 23Н/3</w:t>
      </w:r>
      <w:r>
        <w:rPr>
          <w:rFonts w:ascii="Times New Roman" w:hAnsi="Times New Roman" w:cs="Times New Roman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highlight w:val="none"/>
        </w:rPr>
        <w:t>e</w:t>
      </w:r>
      <w:r>
        <w:rPr>
          <w:rFonts w:ascii="Times New Roman" w:hAnsi="Times New Roman" w:cs="Times New Roman"/>
          <w:highlight w:val="none"/>
          <w:lang w:val="ru-RU"/>
        </w:rPr>
        <w:t>-</w:t>
      </w:r>
      <w:r>
        <w:rPr>
          <w:rFonts w:ascii="Times New Roman" w:hAnsi="Times New Roman" w:cs="Times New Roman"/>
          <w:highlight w:val="none"/>
        </w:rPr>
        <w:t>mail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highlight w:val="none"/>
          <w:lang w:val="ru-RU"/>
        </w:rPr>
        <w:t>ermi.ilya.v@yandex.ru</w:t>
      </w:r>
      <w:r>
        <w:rPr>
          <w:rFonts w:ascii="Times New Roman" w:hAnsi="Times New Roman" w:cs="Times New Roman"/>
          <w:highlight w:val="none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далее — «Исполнитель», «Платформа», «</w:t>
      </w:r>
      <w:r>
        <w:rPr>
          <w:rFonts w:ascii="Times New Roman" w:hAnsi="Times New Roman" w:cs="Times New Roman"/>
        </w:rPr>
        <w:t>Tenders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lang w:val="ru-RU"/>
        </w:rPr>
        <w:t>»). Акцептом Оферты признаются действия, указанные в разделе 5.</w:t>
      </w:r>
    </w:p>
    <w:p w14:paraId="3D5C05C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25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155B325E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1. Термины и стороны</w:t>
      </w:r>
    </w:p>
    <w:p w14:paraId="66A7EBD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Клиент</w:t>
      </w:r>
      <w:r>
        <w:rPr>
          <w:rFonts w:ascii="Times New Roman" w:hAnsi="Times New Roman" w:cs="Times New Roman"/>
          <w:lang w:val="ru-RU"/>
        </w:rPr>
        <w:t xml:space="preserve"> — юридическое лицо / ИП / физическое лицо, акцептовавшее Оферту для доступа к Платформе и услугам.</w:t>
      </w:r>
    </w:p>
    <w:p w14:paraId="530F203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Платформа / Сервис / Личный кабинет</w:t>
      </w:r>
      <w:r>
        <w:rPr>
          <w:rFonts w:ascii="Times New Roman" w:hAnsi="Times New Roman" w:cs="Times New Roman"/>
          <w:lang w:val="ru-RU"/>
        </w:rPr>
        <w:t xml:space="preserve"> — программный продукт </w:t>
      </w:r>
      <w:r>
        <w:rPr>
          <w:rFonts w:ascii="Times New Roman" w:hAnsi="Times New Roman" w:cs="Times New Roman"/>
        </w:rPr>
        <w:t>Tenders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lang w:val="ru-RU"/>
        </w:rPr>
        <w:t xml:space="preserve"> (веб-интерфейс/</w:t>
      </w:r>
      <w:r>
        <w:rPr>
          <w:rFonts w:ascii="Times New Roman" w:hAnsi="Times New Roman" w:cs="Times New Roman"/>
        </w:rPr>
        <w:t>API</w:t>
      </w:r>
      <w:r>
        <w:rPr>
          <w:rFonts w:ascii="Times New Roman" w:hAnsi="Times New Roman" w:cs="Times New Roman"/>
          <w:lang w:val="ru-RU"/>
        </w:rPr>
        <w:t>), предоставляющий функциональность: анализ ТЗ (технических заданий), извлечение требований/характеристик, подбор товаров и поставщиков и предоставление информации о таких товарах и поставщиках, а также дополнительные информационные модули (реферальная программа и др.).</w:t>
      </w:r>
    </w:p>
    <w:p w14:paraId="0654F0E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Материалы Клиента</w:t>
      </w:r>
      <w:r>
        <w:rPr>
          <w:rFonts w:ascii="Times New Roman" w:hAnsi="Times New Roman" w:cs="Times New Roman"/>
          <w:lang w:val="ru-RU"/>
        </w:rPr>
        <w:t xml:space="preserve"> — размещаемые Клиентом ТЗ, документы, данные, изображения, контактные данные, тексты и иные сведения.</w:t>
      </w:r>
    </w:p>
    <w:p w14:paraId="03A968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Поставщик</w:t>
      </w:r>
      <w:r>
        <w:rPr>
          <w:rFonts w:ascii="Times New Roman" w:hAnsi="Times New Roman" w:cs="Times New Roman"/>
          <w:lang w:val="ru-RU"/>
        </w:rPr>
        <w:t xml:space="preserve"> — третье лицо, предлагающее товары/работы/услуги Клиенту; может быть отображено в результатах подбора Платформы.</w:t>
      </w:r>
    </w:p>
    <w:p w14:paraId="152015F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Реферальный партнёр</w:t>
      </w:r>
      <w:r>
        <w:rPr>
          <w:rFonts w:ascii="Times New Roman" w:hAnsi="Times New Roman" w:cs="Times New Roman"/>
          <w:lang w:val="ru-RU"/>
        </w:rPr>
        <w:t xml:space="preserve"> — лицо, привлекающее Клиентов на Платформу в рамках Приложения №2 «Реферальная программа».</w:t>
      </w:r>
    </w:p>
    <w:p w14:paraId="0AF6D1D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Заказ</w:t>
      </w:r>
      <w:r>
        <w:rPr>
          <w:rFonts w:ascii="Times New Roman" w:hAnsi="Times New Roman" w:cs="Times New Roman"/>
          <w:lang w:val="ru-RU"/>
        </w:rPr>
        <w:t xml:space="preserve"> — оформленное Клиентом через ЛК действие на оказание услуг Платформы (включая разовые «анализы ТЗ») либо на подключение тарифов/подписок.</w:t>
      </w:r>
    </w:p>
    <w:p w14:paraId="39DDC2C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Отчёт/Акт</w:t>
      </w:r>
      <w:r>
        <w:rPr>
          <w:rFonts w:ascii="Times New Roman" w:hAnsi="Times New Roman" w:cs="Times New Roman"/>
          <w:lang w:val="ru-RU"/>
        </w:rPr>
        <w:t xml:space="preserve"> — электронный документ в ЛК, подтверждающий объём оказанных услуг. Электронные Акты, квитанции и кассовые чеки направляются на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Клиента и/или доступны в ЛК.</w:t>
      </w:r>
    </w:p>
    <w:p w14:paraId="0C8B1DED">
      <w:pPr>
        <w:jc w:val="both"/>
        <w:rPr>
          <w:rFonts w:ascii="Times New Roman" w:hAnsi="Times New Roman" w:cs="Times New Roman"/>
          <w:lang w:val="ru-RU"/>
        </w:rPr>
      </w:pPr>
    </w:p>
    <w:p w14:paraId="1301D92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26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0B874988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2. Предмет договора</w:t>
      </w:r>
    </w:p>
    <w:p w14:paraId="4780893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2.1. Исполнитель предоставляет Клиенту по возмездной лицензии доступ к Платформе и оказывает информационно-технологические услуги:</w:t>
      </w:r>
    </w:p>
    <w:p w14:paraId="6418A35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анализ загруженных Клиентом ТЗ, извлечение параметров;</w:t>
      </w:r>
    </w:p>
    <w:p w14:paraId="725885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подбор товаров и поставщиков по заданным характеристикам и предоставление информации о таких товарах и поставщиках;</w:t>
      </w:r>
    </w:p>
    <w:p w14:paraId="601CA11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иные сервисы по выбору Клиента: реферальная программа и иные информационные сервисы, прямо описанные на Платформе (далее — «Услуги»).</w:t>
      </w:r>
    </w:p>
    <w:p w14:paraId="455C385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2.2. Результаты работы Платформы носят информационно-справочный характер и предназначены для ускорения подготовки закупки/участия в торгах. Ответственность за окончательный выбор товара, соответствие требованиям 44-ФЗ/223-ФЗ, корректность заявки и решений несёт Клиент. Исполнитель не является ЭТП/оператором торгов, не принимает оплату за товары Поставщиков.</w:t>
      </w:r>
    </w:p>
    <w:p w14:paraId="7DEAEED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2.3. Исполнитель не является агентом, комиссионером, дистрибьютором, маркетплейсом или иным посредником между Клиентом и Поставщиками. Все договоры поставки, расчёты, коммуникации и иные взаимоотношения заключаются и осуществляются Клиентом и Поставщиками напрямую, без участия Исполнителя.</w:t>
      </w:r>
    </w:p>
    <w:p w14:paraId="38D8E07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2.4. Результаты работы Платформы представляют собой исключительно информационные списки и/или карточки товаров и Поставщиков с указанием доступных характеристик, ориентировочных цен и реквизитов (при наличии). Формирование смет, коммерческих предложений, расчёт логистики и иных параметров осуществляется Клиентом самостоятельно за пределами Платформы.</w:t>
      </w:r>
    </w:p>
    <w:p w14:paraId="09C7F06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27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7328A1A0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3. Порядок работы на Платформе (пользовательский процесс)</w:t>
      </w:r>
    </w:p>
    <w:p w14:paraId="78CD7A3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3.1. Регистрация Клиента в ЛК; настройка профиля, реквизитов и доступа.</w:t>
      </w:r>
    </w:p>
    <w:p w14:paraId="7DD7BE4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3.2. Загрузка ТЗ/характеристик. Клиент отвечает за точность и законность загружаемых Материалов.</w:t>
      </w:r>
    </w:p>
    <w:p w14:paraId="58AC236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3.3. Автоматический разбор ТЗ: Платформа извлекает параметры, подбирает товары/Поставщиков и отображает информацию о найденных товарах и Поставщиках.</w:t>
      </w:r>
    </w:p>
    <w:p w14:paraId="5ED61BE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3.4. Клиент просматривает результаты, может корректировать и фильтровать подбор, выгружать перечни товаров и Поставщиков в доступных форматах.</w:t>
      </w:r>
    </w:p>
    <w:p w14:paraId="56F83FD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3.5. Коммуникации с Поставщиками, запросы коммерческих предложений, согласование условий поставки, логистики и оплаты осуществляются Клиентом самостоятельно вне Платформы, с использованием контактных данных Поставщиков, указанных в результатах подбора (при наличии). Исполнитель не участвует в переписке и переговорах между Клиентом и Поставщиками и не несёт ответственность за их содержание и результаты.</w:t>
      </w:r>
    </w:p>
    <w:p w14:paraId="0CB5B7F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3.6. Дополнительные сервисы (включая реферальную программу) используются Клиентом на условиях соответствующих приложений/политик, размещённых на Платформе.</w:t>
      </w:r>
    </w:p>
    <w:p w14:paraId="50BD616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28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325EE2DC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4. Права и обязанности сторон</w:t>
      </w:r>
    </w:p>
    <w:p w14:paraId="5DF2FBF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4.1. Исполнитель обязуется:</w:t>
      </w:r>
    </w:p>
    <w:p w14:paraId="00D0D29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обеспечивать доступ к Платформе 24×7 за исключением регламентных работ;</w:t>
      </w:r>
    </w:p>
    <w:p w14:paraId="1FBC8B7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обрабатывать Материалы Клиента автоматизированно;</w:t>
      </w:r>
    </w:p>
    <w:p w14:paraId="1F7F865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предоставлять электронные отчёты/акты/чеки;</w:t>
      </w:r>
    </w:p>
    <w:p w14:paraId="4AC68FA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соблюдать режим конфиденциальности и защиту персональных данных согласно Политике конфиденциальности; </w:t>
      </w:r>
    </w:p>
    <w:p w14:paraId="0E7D85E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по запросу Клиента оказывать базовую техподдержку (чат/почта) в рабочие дни 10:00–19:00 МСК.</w:t>
      </w:r>
    </w:p>
    <w:p w14:paraId="1A790DF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4.2. Исполнитель вправе:</w:t>
      </w:r>
    </w:p>
    <w:p w14:paraId="484E58C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обновлять функциональность (с сохранением основного назначения сервиса);</w:t>
      </w:r>
    </w:p>
    <w:p w14:paraId="12C7560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приостанавливать доступ при нарушении Оферты/закона/прав третьих лиц;</w:t>
      </w:r>
    </w:p>
    <w:p w14:paraId="3870CDA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изменять Тарифы и условия (раздел 11) с публикацией новой редакции на сайте;</w:t>
      </w:r>
    </w:p>
    <w:p w14:paraId="6D5735C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использовать обезличенные данные для улучшения алгоритмов и аналитики;</w:t>
      </w:r>
    </w:p>
    <w:p w14:paraId="51999B4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4.3. Клиент обязуется:</w:t>
      </w:r>
    </w:p>
    <w:p w14:paraId="6674511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предоставлять достоверные реквизиты и оплачивать Услуги по Тарифам;</w:t>
      </w:r>
    </w:p>
    <w:p w14:paraId="0F36143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не обходить технические ограничения, не скрейпить/не декомпилировать;</w:t>
      </w:r>
    </w:p>
    <w:p w14:paraId="5F19937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использовать результаты Платформы добросовестно и на свой риск;</w:t>
      </w:r>
    </w:p>
    <w:p w14:paraId="50749E1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соблюдать требования законодательства о закупках/рекламе/ПДн;</w:t>
      </w:r>
    </w:p>
    <w:p w14:paraId="07BC30E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не размещать противоправные Материалы; своевременно подтверждать Акты/Отчёты в ЛК (либо направлять мотивированный отказ в 5-дневный срок); </w:t>
      </w:r>
    </w:p>
    <w:p w14:paraId="6A41D80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самостоятельно запрашивать у Поставщиков коммерческие предложения, уточнять наличие, цены, сроки и иные условия поставки и не полагаться исключительно на сведения, отображаемые в Платформе.</w:t>
      </w:r>
    </w:p>
    <w:p w14:paraId="4CA7A88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29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7B0A7304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5. Заключение договора (акцепт Оферты)</w:t>
      </w:r>
    </w:p>
    <w:p w14:paraId="7AF3175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5.1. Оферта считается акцептованной Клиентом при совершении любого из действий:</w:t>
      </w:r>
    </w:p>
    <w:p w14:paraId="119A646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- регистрация ЛК и проставление отметки «Согласен с Офертой»; </w:t>
      </w:r>
    </w:p>
    <w:p w14:paraId="5091040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оплата счёта/пополнение баланса/подключение автоплатежа;</w:t>
      </w:r>
    </w:p>
    <w:p w14:paraId="5AEB49C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фактическое использование Платформы (загрузка ТЗ/получение результатов) при наличии опубликованной Оферты.</w:t>
      </w:r>
    </w:p>
    <w:p w14:paraId="0F7B264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5.2. Договор заключается с даты акцепта и действует до расторжения в порядке раздела 12.</w:t>
      </w:r>
    </w:p>
    <w:p w14:paraId="624A533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0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02790FE0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6. Тарифы и расчёты</w:t>
      </w:r>
    </w:p>
    <w:p w14:paraId="7962A4D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6.1. Услуги оказываются по действующим тарифам, опубликованным на сайте/в ЛК и в Приложении №1. Базовый способ оплаты — предоплата (счёт/безнал/банковские карты/МИР/система быстрых платежей). Возможна автопокупка «анализа ТЗ» с баланса.</w:t>
      </w:r>
    </w:p>
    <w:p w14:paraId="5859D8B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6.2. Единица тарификации «Анализ ТЗ» списывается при успешной обработке файла/заявки. В случае технического сбоя взимание платы корректируется (перезачёт/повторное предоставление).</w:t>
      </w:r>
    </w:p>
    <w:p w14:paraId="09DBDFE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6.3. Актирование: ежемесячно/по факту — в электронном виде через ЛК. Электронные документы и простая электронная подпись Клиента (логин/пароль/код в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</w:rPr>
        <w:t>SMS</w:t>
      </w:r>
      <w:r>
        <w:rPr>
          <w:rFonts w:ascii="Times New Roman" w:hAnsi="Times New Roman" w:cs="Times New Roman"/>
          <w:lang w:val="ru-RU"/>
        </w:rPr>
        <w:t>/кнопка «Подписать») приравниваются к собственноручной подписи.</w:t>
      </w:r>
    </w:p>
    <w:p w14:paraId="5328E78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6.3.1. В случае если Клиент в течение 5 (пяти) рабочих дней с даты размещения Акта в Личном кабинете и/или направления уведомления на </w:t>
      </w: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lang w:val="ru-RU"/>
        </w:rPr>
        <w:t xml:space="preserve"> не направил Исполнителю мотивированные письменные возражения, такой Акт считается акцептованным Клиентом в полном объёме.</w:t>
      </w:r>
    </w:p>
    <w:p w14:paraId="6346D44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6.3.2. Возражения Клиента должны содержать перечень замечаний и ссылки на конкретные услуги/объём. При отсутствии мотивированных замечаний в установленный срок услуги считаются оказанными надлежащим образом и в полном объёме.</w:t>
      </w:r>
    </w:p>
    <w:p w14:paraId="2F4A5E0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6.3.3. Исполнитель вправе выставлять сводный ежемесячный Акт на весь объём оказанных услуг за период, либо отдельные Акты по завершённым услугам/операциям — по своему усмотрению.</w:t>
      </w:r>
    </w:p>
    <w:p w14:paraId="530692F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 Возвраты и корректировки.</w:t>
      </w:r>
    </w:p>
    <w:p w14:paraId="3E40750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6.4.1. Услуги считаются оказанными с момента предоставления доступа к Платформе и/или результата обработки (в том числе отображения результата в Личном кабинете либо выдачи файлов выгрузки). Возврат оплаты за надлежащим образом оказанные услуги не производится.</w:t>
      </w:r>
    </w:p>
    <w:p w14:paraId="4C090B8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6.4.2. Денежные средства подлежат возврату (либо, по выбору Клиента, зачету в счёт будущих услуг) в случаях:</w:t>
      </w:r>
    </w:p>
    <w:p w14:paraId="035E2A4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а) переплата;</w:t>
      </w:r>
    </w:p>
    <w:p w14:paraId="4AE21D8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б) ошибочное/двойное списание;</w:t>
      </w:r>
    </w:p>
    <w:p w14:paraId="1BA0FA6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в) списание при техническом сбое либо непредоставление результата по вине Исполнителя;</w:t>
      </w:r>
    </w:p>
    <w:p w14:paraId="49D5837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г) списание без фактической обработки (включая неподдерживаемый формат/некорректную работу сервиса при соблюдении Клиентом инструкции).</w:t>
      </w:r>
    </w:p>
    <w:p w14:paraId="1F20B5AF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6.4.3. Порядок возврата: Клиент подаёт заявку через Личный кабинет/на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с указанием </w:t>
      </w:r>
      <w:r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  <w:lang w:val="ru-RU"/>
        </w:rPr>
        <w:t xml:space="preserve"> операции, суммы и основания. Исполнитель рассматривает заявку в течение 5 (пяти) рабочих дней и при подтверждении основания осуществляет возврат в течение 10 (десяти) рабочих дней тем же способом платежа и/или на тот же расчётный счёт, с которого поступила оплата (для банковских карт — на ту же карту).</w:t>
      </w:r>
    </w:p>
    <w:p w14:paraId="44E6CB6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6.4.4. Если Клиент не заявил о возврате, Исполнитель вправе произвести зачет суммы в счёт будущих услуг. Комиссии банков/платёжных систем при возврате не компенсируются и удерживаются из возвращаемой суммы, если иное не предусмотрено законом/правилами платёжной системы.</w:t>
      </w:r>
    </w:p>
    <w:p w14:paraId="6516C7B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6.4.5. Возвраты не осуществляются по основаниям, не связанным с качеством оказания услуг Исполнителем (включая отсутствие выигрыша в торгах, изменение планов Клиента, иные ожидания результата при корректно оказанной услуге).</w:t>
      </w:r>
    </w:p>
    <w:p w14:paraId="35F7F33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6.4.6. Исполнитель вправе запросить у Клиента дополнительные сведения/документы для подтверждения основания возврата. В случае последующего выявления обстоятельств, исключающих основание возврата, Клиент обязан вернуть необоснованно полученные суммы.</w:t>
      </w:r>
    </w:p>
    <w:p w14:paraId="27B5FFD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1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043A9958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7. Реферальная программа</w:t>
      </w:r>
    </w:p>
    <w:p w14:paraId="57196AF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7.1. Условия участия, размер вознаграждения, порядок начисления/выплат и ограничения установлены в Приложении №2. Присоединение к Программе осуществляется в ЛК (активация), либо при размещении реферальной ссылки.</w:t>
      </w:r>
    </w:p>
    <w:p w14:paraId="3836C78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2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0529165E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8. Интеллектуальная собственность</w:t>
      </w:r>
    </w:p>
    <w:p w14:paraId="144BD41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8.1. Исключительные права на Платформу, базу данных, дизайн и иные результаты ИС принадлежат Исполнителю/правообладателям. Клиенту предоставляется неисключительная, непередаваемая лицензия на использование Платформы в объёме, необходимом для получения Услуг.</w:t>
      </w:r>
    </w:p>
    <w:p w14:paraId="2ECD215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3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3C134154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9. Персональные данные и конфиденциальность</w:t>
      </w:r>
    </w:p>
    <w:p w14:paraId="49BE135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9.1. Обработка персональных данных осуществляется согласно Политике конфиденциальности (размещённой на сайте) и соглашениям об обработке данных. Акцептуя Оферту, Клиент подтверждает получение законных оснований на передачу Исполнителю ПДн своих сотрудников/контрагентов.</w:t>
      </w:r>
    </w:p>
    <w:p w14:paraId="1BF923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9.2. Стороны обязуются сохранять конфиденциальность любой информации, полученной в ходе исполнения Договора, за исключением случаев, прямо предусмотренных законом/Офертой.</w:t>
      </w:r>
    </w:p>
    <w:p w14:paraId="3FDDFEA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4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3FCF4F94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10. Ответственность и гарантии</w:t>
      </w:r>
    </w:p>
    <w:p w14:paraId="0F2CA69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10.1. Платформа и результаты её работы предоставляются «как есть» без гарантий пригодности для конкретной цели. Исполнитель не гарантирует выигрыш тендеров/достижение коммерческого результата.</w:t>
      </w:r>
    </w:p>
    <w:p w14:paraId="3F00208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10.2. Совокупная ответственность Исполнителя по всем требованиям за календарный год ограничена размером оплаты, фактически полученной от Клиента за последние 3 (три) месяца оказания Услуг, и исключает упущенную выгоду/косвенные убытки.</w:t>
      </w:r>
    </w:p>
    <w:p w14:paraId="02EC0E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10.3. Клиент гарантирует законность Материалов и несёт ответственность за их содержание, соответствие правам третьих лиц и требованиям законодательства о закупках/рекламе/коммерческой тайне.</w:t>
      </w:r>
    </w:p>
    <w:p w14:paraId="34FF527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10.4. Исполнитель не несёт ответственности за действия/бездействие Поставщиков, качество и сроки поставки, достоверность предоставляемых Поставщиками данных, а также за ход и результаты переговоров и сделок между Клиентом и Поставщиками.</w:t>
      </w:r>
    </w:p>
    <w:p w14:paraId="7CEDBC6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5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420C64B9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11. Изменение условий Оферты</w:t>
      </w:r>
    </w:p>
    <w:p w14:paraId="7080D97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11.1. Исполнитель вправе изменять Оферту/Приложения, публикуя новую редакцию на сайте. Если Клиент продолжает пользоваться Платформой после публикации, считается, что он согласен с изменениями. Изменения не применяются к уже оплаченным и оказанным услугам, если иное прямо не указано в новой редакции и не ухудшает положение Клиента.</w:t>
      </w:r>
    </w:p>
    <w:p w14:paraId="08CD59E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6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1A244071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12. Срок действия, приостановление и расторжение</w:t>
      </w:r>
    </w:p>
    <w:p w14:paraId="7BC8F32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12.1. Договор действует бессрочно с момента акцепта. Любая из сторон вправе расторгнуть Договор уведомлением через ЛК/по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за 10 календарных дней.</w:t>
      </w:r>
    </w:p>
    <w:p w14:paraId="67254A0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12.2. Исполнитель вправе незамедлительно приостановить доступ/расторгнуть Договор при существенном нарушении Оферты (неоплата, нарушение прав третьих лиц, обход ограничений, спам/мошенничество и др.).</w:t>
      </w:r>
    </w:p>
    <w:p w14:paraId="4E345C9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7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1C94E79A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13. Электронный документооборот</w:t>
      </w:r>
    </w:p>
    <w:p w14:paraId="1785AD4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13.1. Переписка через ЛК и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сторон, а также действия Клиента в ЛК (нажатие кнопок, загрузка/выгрузка, подтверждение отчётов) создают юридически значимые документы. Простая электронная подпись (логин/пароль/код) используется для подписания электронных документов.</w:t>
      </w:r>
    </w:p>
    <w:p w14:paraId="119B7C3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8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7E5453D4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14. Форс-мажор</w:t>
      </w:r>
    </w:p>
    <w:p w14:paraId="0420D53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14.1. Стороны освобождаются от ответственности за частичное/полное неисполнение обязательств, вызванное чрезвычайными и непредотвратимыми обстоятельствами (в т. ч. сбои сетей/ЦОД/операторов, ограничения госорганов, стихийные бедствия, военные действия и т. п.). Сторона, для которой создалась невозможность исполнения, уведомляет другую сторону в разумный срок.</w:t>
      </w:r>
    </w:p>
    <w:p w14:paraId="1564B9C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39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7AA079B7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15. Применимое право и споры</w:t>
      </w:r>
    </w:p>
    <w:p w14:paraId="796A6068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15.1. К настоящей Оферте и правоотношениям Сторон применяется право Российской Федерации.</w:t>
      </w:r>
    </w:p>
    <w:p w14:paraId="01016A9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15.2. Претензионный порядок. До обращения в суд Стороны соблюдают обязательный досудебный порядок урегулирования споров: Сторона, полагающая свои права нарушенными, направляет другой Стороне письменную претензию на юридический адрес Исполнителя, указанный в разделе 16 настоящей Оферты, заказным письмом/курьерской службой с уведомлением о вручении (допускается дублирование по </w:t>
      </w: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lang w:val="ru-RU"/>
        </w:rPr>
        <w:t>). Срок рассмотрения и ответа на претензию — 10 (десять) рабочих дней с даты её получения.</w:t>
      </w:r>
    </w:p>
    <w:p w14:paraId="2E6329F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15.3. Подсудность. Все споры, разногласия или требования, возникающие из настоящей Оферты или в связи с её исполнением, подлежат рассмотрению в Арбитражном суде города Москвы. Соглашение о подсудности является исключительным.</w:t>
      </w:r>
    </w:p>
    <w:p w14:paraId="476EDB6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>
          <v:rect id="_x0000_i1040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p w14:paraId="2D4D3C3A">
      <w:pPr>
        <w:jc w:val="center"/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376092" w:themeColor="accent1" w:themeShade="BF"/>
          <w:sz w:val="32"/>
          <w:szCs w:val="32"/>
          <w:lang w:val="ru-RU"/>
        </w:rPr>
        <w:t>16. Реквизиты Исполнителя</w:t>
      </w:r>
    </w:p>
    <w:p w14:paraId="55F00B9E">
      <w:pPr>
        <w:jc w:val="left"/>
        <w:rPr>
          <w:rFonts w:hint="default" w:ascii="Times New Roman" w:hAnsi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>ООО «ТЕНДЕР.АИ»</w:t>
      </w:r>
      <w:r>
        <w:rPr>
          <w:rFonts w:ascii="Times New Roman" w:hAnsi="Times New Roman" w:cs="Times New Roman"/>
          <w:highlight w:val="none"/>
          <w:lang w:val="ru-RU"/>
        </w:rPr>
        <w:br w:type="textWrapping"/>
      </w:r>
      <w:r>
        <w:rPr>
          <w:rFonts w:ascii="Times New Roman" w:hAnsi="Times New Roman" w:cs="Times New Roman"/>
          <w:highlight w:val="none"/>
          <w:lang w:val="ru-RU"/>
        </w:rPr>
        <w:t>ОГРН: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highlight w:val="none"/>
          <w:lang w:val="ru-RU"/>
        </w:rPr>
        <w:t>1257700238950</w:t>
      </w:r>
      <w:r>
        <w:rPr>
          <w:rFonts w:ascii="Times New Roman" w:hAnsi="Times New Roman" w:cs="Times New Roman"/>
          <w:highlight w:val="none"/>
          <w:lang w:val="ru-RU"/>
        </w:rPr>
        <w:t xml:space="preserve"> / ИНН: </w:t>
      </w:r>
      <w:r>
        <w:rPr>
          <w:rFonts w:hint="default" w:ascii="Times New Roman" w:hAnsi="Times New Roman"/>
          <w:highlight w:val="none"/>
          <w:lang w:val="ru-RU"/>
        </w:rPr>
        <w:t>7730337828</w:t>
      </w:r>
      <w:r>
        <w:rPr>
          <w:rFonts w:ascii="Times New Roman" w:hAnsi="Times New Roman" w:cs="Times New Roman"/>
          <w:highlight w:val="none"/>
          <w:lang w:val="ru-RU"/>
        </w:rPr>
        <w:t xml:space="preserve"> / КПП: </w:t>
      </w:r>
      <w:r>
        <w:rPr>
          <w:rFonts w:hint="default" w:ascii="Times New Roman" w:hAnsi="Times New Roman"/>
          <w:highlight w:val="none"/>
          <w:lang w:val="ru-RU"/>
        </w:rPr>
        <w:t xml:space="preserve">773001001 / </w:t>
      </w:r>
      <w:r>
        <w:rPr>
          <w:rFonts w:ascii="Times New Roman" w:hAnsi="Times New Roman" w:cs="Times New Roman"/>
          <w:highlight w:val="none"/>
          <w:lang w:val="ru-RU"/>
        </w:rPr>
        <w:t xml:space="preserve">Р/с: </w:t>
      </w:r>
      <w:r>
        <w:rPr>
          <w:rFonts w:hint="default" w:ascii="Times New Roman" w:hAnsi="Times New Roman"/>
          <w:highlight w:val="none"/>
          <w:lang w:val="ru-RU"/>
        </w:rPr>
        <w:t>40702810038720007637</w:t>
      </w:r>
    </w:p>
    <w:p w14:paraId="0D31FE7A">
      <w:pPr>
        <w:jc w:val="left"/>
        <w:rPr>
          <w:rFonts w:hint="default" w:ascii="Times New Roman" w:hAnsi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>Банк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получателя: </w:t>
      </w:r>
      <w:r>
        <w:rPr>
          <w:rFonts w:hint="default" w:ascii="Times New Roman" w:hAnsi="Times New Roman"/>
          <w:highlight w:val="none"/>
          <w:lang w:val="ru-RU"/>
        </w:rPr>
        <w:t>ПАО Сбербанк</w:t>
      </w:r>
    </w:p>
    <w:p w14:paraId="070C4019">
      <w:pPr>
        <w:jc w:val="left"/>
        <w:rPr>
          <w:rFonts w:hint="default" w:ascii="Times New Roman" w:hAnsi="Times New Roman"/>
          <w:highlight w:val="none"/>
          <w:lang w:val="ru-RU"/>
        </w:rPr>
      </w:pPr>
      <w:r>
        <w:rPr>
          <w:rFonts w:hint="default" w:ascii="Times New Roman" w:hAnsi="Times New Roman"/>
          <w:highlight w:val="none"/>
          <w:lang w:val="ru-RU"/>
        </w:rPr>
        <w:t>БИК: 044525225 / Корсчёт: 30101810400000000225 / ИНН: 7707083893 / КПП: 773643001</w:t>
      </w:r>
    </w:p>
    <w:p w14:paraId="65380BF0">
      <w:pPr>
        <w:jc w:val="left"/>
        <w:rPr>
          <w:rFonts w:hint="default" w:ascii="Times New Roman" w:hAnsi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 xml:space="preserve">Юр. адрес: </w:t>
      </w:r>
      <w:r>
        <w:rPr>
          <w:rFonts w:hint="default" w:ascii="Times New Roman" w:hAnsi="Times New Roman"/>
          <w:highlight w:val="none"/>
          <w:lang w:val="ru-RU"/>
        </w:rPr>
        <w:t>121087, РОССИЯ, Г.МОСКВА, ВН.ТЕР.Г. МУНИЦИПАЛЬНЫЙ ОКРУГ ФИЛЕВСКИЙ ПАРК, УЛ БАРКЛАЯ, Д. 6, СТР. 3, ПОМЕЩ. 23Н/3</w:t>
      </w:r>
    </w:p>
    <w:p w14:paraId="52E79564">
      <w:pPr>
        <w:jc w:val="left"/>
        <w:rPr>
          <w:rFonts w:hint="default" w:ascii="Times New Roman" w:hAnsi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 xml:space="preserve">Почта для претензий/ЭДО: </w:t>
      </w:r>
      <w:r>
        <w:rPr>
          <w:rFonts w:hint="default" w:ascii="Times New Roman" w:hAnsi="Times New Roman"/>
          <w:highlight w:val="none"/>
          <w:lang w:val="ru-RU"/>
        </w:rPr>
        <w:t>ermi.ilya.v@yandex.ru</w:t>
      </w:r>
      <w:bookmarkStart w:id="4" w:name="_GoBack"/>
      <w:bookmarkEnd w:id="4"/>
      <w:r>
        <w:rPr>
          <w:rFonts w:ascii="Times New Roman" w:hAnsi="Times New Roman" w:cs="Times New Roman"/>
          <w:highlight w:val="none"/>
          <w:lang w:val="ru-RU"/>
        </w:rPr>
        <w:br w:type="textWrapping"/>
      </w:r>
    </w:p>
    <w:p w14:paraId="56D4BA9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textWrapping"/>
      </w:r>
    </w:p>
    <w:p w14:paraId="4668DCA2">
      <w:pPr>
        <w:jc w:val="both"/>
        <w:rPr>
          <w:rFonts w:ascii="Times New Roman" w:hAnsi="Times New Roman" w:cs="Times New Roman"/>
          <w:lang w:val="ru-RU"/>
        </w:rPr>
      </w:pPr>
    </w:p>
    <w:p w14:paraId="4EB2102A">
      <w:pPr>
        <w:jc w:val="both"/>
        <w:rPr>
          <w:rFonts w:ascii="Times New Roman" w:hAnsi="Times New Roman" w:cs="Times New Roman"/>
          <w:lang w:val="ru-RU"/>
        </w:rPr>
      </w:pPr>
    </w:p>
    <w:p w14:paraId="7A7776DA">
      <w:pPr>
        <w:jc w:val="both"/>
        <w:rPr>
          <w:rFonts w:ascii="Times New Roman" w:hAnsi="Times New Roman" w:cs="Times New Roman"/>
          <w:lang w:val="ru-RU"/>
        </w:rPr>
      </w:pPr>
    </w:p>
    <w:p w14:paraId="23F3B757">
      <w:pPr>
        <w:jc w:val="both"/>
        <w:rPr>
          <w:rFonts w:ascii="Times New Roman" w:hAnsi="Times New Roman" w:cs="Times New Roman"/>
          <w:lang w:val="ru-RU"/>
        </w:rPr>
      </w:pPr>
    </w:p>
    <w:p w14:paraId="7B11FF94">
      <w:pPr>
        <w:jc w:val="both"/>
        <w:rPr>
          <w:rFonts w:ascii="Times New Roman" w:hAnsi="Times New Roman" w:cs="Times New Roman"/>
          <w:lang w:val="ru-RU"/>
        </w:rPr>
      </w:pPr>
    </w:p>
    <w:p w14:paraId="574E56FB">
      <w:pPr>
        <w:jc w:val="both"/>
        <w:rPr>
          <w:rFonts w:ascii="Times New Roman" w:hAnsi="Times New Roman" w:cs="Times New Roman"/>
          <w:lang w:val="ru-RU"/>
        </w:rPr>
      </w:pPr>
    </w:p>
    <w:p w14:paraId="06C47094">
      <w:pPr>
        <w:jc w:val="both"/>
        <w:rPr>
          <w:rFonts w:ascii="Times New Roman" w:hAnsi="Times New Roman" w:cs="Times New Roman"/>
          <w:lang w:val="ru-RU"/>
        </w:rPr>
      </w:pPr>
    </w:p>
    <w:p w14:paraId="0D29D6BB">
      <w:pPr>
        <w:jc w:val="both"/>
        <w:rPr>
          <w:rFonts w:ascii="Times New Roman" w:hAnsi="Times New Roman" w:cs="Times New Roman"/>
          <w:lang w:val="ru-RU"/>
        </w:rPr>
      </w:pPr>
    </w:p>
    <w:p w14:paraId="657CFC9A">
      <w:pPr>
        <w:jc w:val="both"/>
        <w:rPr>
          <w:rFonts w:ascii="Times New Roman" w:hAnsi="Times New Roman" w:cs="Times New Roman"/>
          <w:lang w:val="ru-RU"/>
        </w:rPr>
      </w:pPr>
    </w:p>
    <w:p w14:paraId="4447C635">
      <w:pPr>
        <w:jc w:val="both"/>
        <w:rPr>
          <w:rFonts w:ascii="Times New Roman" w:hAnsi="Times New Roman" w:cs="Times New Roman"/>
          <w:lang w:val="ru-RU"/>
        </w:rPr>
      </w:pPr>
    </w:p>
    <w:p w14:paraId="182DB973">
      <w:pPr>
        <w:jc w:val="both"/>
        <w:rPr>
          <w:rFonts w:ascii="Times New Roman" w:hAnsi="Times New Roman" w:cs="Times New Roman"/>
          <w:lang w:val="ru-RU"/>
        </w:rPr>
      </w:pPr>
    </w:p>
    <w:p w14:paraId="6BE2F274">
      <w:pPr>
        <w:jc w:val="both"/>
        <w:rPr>
          <w:rFonts w:ascii="Times New Roman" w:hAnsi="Times New Roman" w:cs="Times New Roman"/>
          <w:lang w:val="ru-RU"/>
        </w:rPr>
      </w:pPr>
    </w:p>
    <w:p w14:paraId="0462A808">
      <w:pPr>
        <w:jc w:val="both"/>
        <w:rPr>
          <w:rFonts w:ascii="Times New Roman" w:hAnsi="Times New Roman" w:cs="Times New Roman"/>
          <w:lang w:val="ru-RU"/>
        </w:rPr>
      </w:pPr>
    </w:p>
    <w:p w14:paraId="72598FC7">
      <w:pPr>
        <w:jc w:val="both"/>
        <w:rPr>
          <w:rFonts w:ascii="Times New Roman" w:hAnsi="Times New Roman" w:cs="Times New Roman"/>
          <w:lang w:val="ru-RU"/>
        </w:rPr>
      </w:pPr>
    </w:p>
    <w:p w14:paraId="6D680353">
      <w:pPr>
        <w:jc w:val="both"/>
        <w:rPr>
          <w:rFonts w:ascii="Times New Roman" w:hAnsi="Times New Roman" w:cs="Times New Roman"/>
          <w:lang w:val="ru-RU"/>
        </w:rPr>
      </w:pPr>
    </w:p>
    <w:p w14:paraId="3F9B44A7">
      <w:pPr>
        <w:jc w:val="both"/>
        <w:rPr>
          <w:rFonts w:ascii="Times New Roman" w:hAnsi="Times New Roman" w:cs="Times New Roman"/>
          <w:lang w:val="ru-RU"/>
        </w:rPr>
      </w:pPr>
    </w:p>
    <w:p w14:paraId="785F83F4">
      <w:pPr>
        <w:pStyle w:val="2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приложение-1-к-оферте.-тарифы"/>
      <w:r>
        <w:rPr>
          <w:rFonts w:ascii="Times New Roman" w:hAnsi="Times New Roman" w:cs="Times New Roman"/>
          <w:sz w:val="32"/>
          <w:szCs w:val="32"/>
          <w:lang w:val="ru-RU"/>
        </w:rPr>
        <w:t>Приложение №1 к Оферте. Тарифы</w:t>
      </w:r>
    </w:p>
    <w:p w14:paraId="03562633">
      <w:pPr>
        <w:pStyle w:val="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1. Разовые услуги «Анализ ТЗ» (по количеству позиций в ТЗ)</w:t>
      </w:r>
    </w:p>
    <w:tbl>
      <w:tblPr>
        <w:tblStyle w:val="168"/>
        <w:tblW w:w="67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2548"/>
      </w:tblGrid>
      <w:tr w14:paraId="52BC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194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1B041E10">
            <w:pPr>
              <w:pStyle w:val="1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позиций в ТЗ, ед.</w:t>
            </w:r>
          </w:p>
        </w:tc>
        <w:tc>
          <w:tcPr>
            <w:tcW w:w="2548" w:type="dxa"/>
            <w:tcBorders>
              <w:bottom w:val="single" w:color="auto" w:sz="0" w:space="0"/>
              <w:insideH w:val="single" w:sz="0" w:space="0"/>
            </w:tcBorders>
            <w:vAlign w:val="bottom"/>
          </w:tcPr>
          <w:p w14:paraId="080213BF">
            <w:pPr>
              <w:pStyle w:val="16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Цена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анализ</w:t>
            </w:r>
            <w:r>
              <w:rPr>
                <w:rFonts w:ascii="Times New Roman" w:hAnsi="Times New Roman" w:cs="Times New Roman"/>
                <w:lang w:val="ru-RU"/>
              </w:rPr>
              <w:t>, руб.</w:t>
            </w:r>
          </w:p>
        </w:tc>
      </w:tr>
      <w:tr w14:paraId="0772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1C2C8C21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3</w:t>
            </w:r>
          </w:p>
        </w:tc>
        <w:tc>
          <w:tcPr>
            <w:tcW w:w="2548" w:type="dxa"/>
          </w:tcPr>
          <w:p w14:paraId="74088F66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14:paraId="2A99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4208FDF9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7</w:t>
            </w:r>
          </w:p>
        </w:tc>
        <w:tc>
          <w:tcPr>
            <w:tcW w:w="2548" w:type="dxa"/>
          </w:tcPr>
          <w:p w14:paraId="6E0400A3">
            <w:pPr>
              <w:pStyle w:val="167"/>
              <w:tabs>
                <w:tab w:val="left" w:pos="9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14:paraId="40C0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587DD0D8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12</w:t>
            </w:r>
          </w:p>
        </w:tc>
        <w:tc>
          <w:tcPr>
            <w:tcW w:w="2548" w:type="dxa"/>
          </w:tcPr>
          <w:p w14:paraId="6DC1D977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</w:tr>
      <w:tr w14:paraId="28A7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36CADEF0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– 18</w:t>
            </w:r>
          </w:p>
        </w:tc>
        <w:tc>
          <w:tcPr>
            <w:tcW w:w="2548" w:type="dxa"/>
          </w:tcPr>
          <w:p w14:paraId="1FD77B73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14:paraId="6391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445493EB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– 25</w:t>
            </w:r>
          </w:p>
        </w:tc>
        <w:tc>
          <w:tcPr>
            <w:tcW w:w="2548" w:type="dxa"/>
          </w:tcPr>
          <w:p w14:paraId="7BBB82B2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</w:tr>
      <w:tr w14:paraId="4001C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7091B61D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33</w:t>
            </w:r>
          </w:p>
        </w:tc>
        <w:tc>
          <w:tcPr>
            <w:tcW w:w="2548" w:type="dxa"/>
          </w:tcPr>
          <w:p w14:paraId="210460C9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1 190</w:t>
            </w:r>
          </w:p>
        </w:tc>
      </w:tr>
      <w:tr w14:paraId="3F61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4" w:type="dxa"/>
          </w:tcPr>
          <w:p w14:paraId="1F70DE0C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и более</w:t>
            </w:r>
          </w:p>
        </w:tc>
        <w:tc>
          <w:tcPr>
            <w:tcW w:w="2548" w:type="dxa"/>
          </w:tcPr>
          <w:p w14:paraId="48033DAA">
            <w:pPr>
              <w:pStyle w:val="1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1 490</w:t>
            </w:r>
          </w:p>
        </w:tc>
      </w:tr>
    </w:tbl>
    <w:p w14:paraId="31833661">
      <w:pPr>
        <w:pStyle w:val="21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A7911E5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Пояснения: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3E93C89F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Списание происходит при успешной обработке ТЗ. При сбое — перезачёт/повтор. </w:t>
      </w:r>
    </w:p>
    <w:p w14:paraId="175DC922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Цены указаны без НДС, так как Исполнитель применяет упрощенную систему налогообложения; актуальная информация — в ЛК/счёте.</w:t>
      </w:r>
    </w:p>
    <w:p w14:paraId="20AAD3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41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0"/>
    <w:p w14:paraId="548A405E">
      <w:pPr>
        <w:pStyle w:val="2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1" w:name="X291f3444ea430b54c5eab2edcc9ac5172c96517"/>
      <w:r>
        <w:rPr>
          <w:rFonts w:ascii="Times New Roman" w:hAnsi="Times New Roman" w:cs="Times New Roman"/>
          <w:sz w:val="32"/>
          <w:szCs w:val="32"/>
          <w:lang w:val="ru-RU"/>
        </w:rPr>
        <w:t xml:space="preserve">Приложение №2 к Оферте. Реферальная программа </w:t>
      </w:r>
      <w:r>
        <w:rPr>
          <w:rFonts w:ascii="Times New Roman" w:hAnsi="Times New Roman" w:cs="Times New Roman"/>
          <w:sz w:val="32"/>
          <w:szCs w:val="32"/>
        </w:rPr>
        <w:t>Tenders</w:t>
      </w:r>
      <w:r>
        <w:rPr>
          <w:rFonts w:ascii="Times New Roman" w:hAnsi="Times New Roman" w:cs="Times New Roman"/>
          <w:sz w:val="32"/>
          <w:szCs w:val="32"/>
          <w:lang w:val="ru-RU"/>
        </w:rPr>
        <w:t>-</w:t>
      </w:r>
      <w:r>
        <w:rPr>
          <w:rFonts w:ascii="Times New Roman" w:hAnsi="Times New Roman" w:cs="Times New Roman"/>
          <w:sz w:val="32"/>
          <w:szCs w:val="32"/>
        </w:rPr>
        <w:t>AI</w:t>
      </w:r>
    </w:p>
    <w:p w14:paraId="56D44B43">
      <w:pPr>
        <w:pStyle w:val="16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1. Общие положения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9581F82">
      <w:pPr>
        <w:pStyle w:val="16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1.1. Программа предназначена для партнёров, привлекающих Клиентов на Платформу. Присоединение — через ЛК (активация) и получение реферальной ссылки.</w:t>
      </w:r>
    </w:p>
    <w:p w14:paraId="34BD93B9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1.2. </w:t>
      </w:r>
      <w:r>
        <w:rPr>
          <w:rFonts w:ascii="Times New Roman" w:hAnsi="Times New Roman" w:cs="Times New Roman"/>
          <w:b/>
          <w:bCs/>
          <w:lang w:val="ru-RU"/>
        </w:rPr>
        <w:t>Вознаграждение партнёра (база):</w:t>
      </w:r>
      <w:r>
        <w:rPr>
          <w:rFonts w:ascii="Times New Roman" w:hAnsi="Times New Roman" w:cs="Times New Roman"/>
          <w:lang w:val="ru-RU"/>
        </w:rPr>
        <w:t xml:space="preserve"> процент от чистой выручки Исполнителя от привлечённого Клиента (без налогов/возвратов/скидок) на весь срок его активного пользования сервисом.</w:t>
      </w:r>
    </w:p>
    <w:p w14:paraId="67D8DD59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2. Уровни и ставки:</w:t>
      </w:r>
    </w:p>
    <w:p w14:paraId="4E026322">
      <w:pPr>
        <w:pStyle w:val="21"/>
        <w:jc w:val="both"/>
        <w:rPr>
          <w:rFonts w:ascii="Times New Roman" w:hAnsi="Times New Roman" w:cs="Times New Roman"/>
          <w:lang w:val="ru-RU"/>
        </w:rPr>
      </w:pPr>
    </w:p>
    <w:tbl>
      <w:tblPr>
        <w:tblStyle w:val="38"/>
        <w:tblW w:w="9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260"/>
        <w:gridCol w:w="3544"/>
      </w:tblGrid>
      <w:tr w14:paraId="613C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0500FC96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Уровень</w:t>
            </w:r>
          </w:p>
        </w:tc>
        <w:tc>
          <w:tcPr>
            <w:tcW w:w="3260" w:type="dxa"/>
          </w:tcPr>
          <w:p w14:paraId="11E6B480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Кол-во активных клиент</w:t>
            </w:r>
            <w:r>
              <w:rPr>
                <w:rFonts w:ascii="Times New Roman" w:hAnsi="Times New Roman" w:cs="Times New Roman"/>
                <w:b/>
                <w:bCs/>
              </w:rPr>
              <w:t>ов</w:t>
            </w:r>
          </w:p>
        </w:tc>
        <w:tc>
          <w:tcPr>
            <w:tcW w:w="3544" w:type="dxa"/>
          </w:tcPr>
          <w:p w14:paraId="5AA75A34">
            <w:pPr>
              <w:pStyle w:val="21"/>
              <w:spacing w:line="240" w:lineRule="auto"/>
              <w:ind w:right="831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Размер вознаграждения</w:t>
            </w:r>
          </w:p>
        </w:tc>
      </w:tr>
      <w:tr w14:paraId="0761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679DBEA4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Новичок</w:t>
            </w:r>
          </w:p>
        </w:tc>
        <w:tc>
          <w:tcPr>
            <w:tcW w:w="3260" w:type="dxa"/>
          </w:tcPr>
          <w:p w14:paraId="29A7803B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– 9</w:t>
            </w:r>
          </w:p>
        </w:tc>
        <w:tc>
          <w:tcPr>
            <w:tcW w:w="3544" w:type="dxa"/>
          </w:tcPr>
          <w:p w14:paraId="19EF2B6E">
            <w:pPr>
              <w:pStyle w:val="21"/>
              <w:spacing w:line="240" w:lineRule="auto"/>
              <w:ind w:right="8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10%</w:t>
            </w:r>
          </w:p>
        </w:tc>
      </w:tr>
      <w:tr w14:paraId="3C67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51C8A75D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Продвинутый</w:t>
            </w:r>
          </w:p>
        </w:tc>
        <w:tc>
          <w:tcPr>
            <w:tcW w:w="3260" w:type="dxa"/>
          </w:tcPr>
          <w:p w14:paraId="19C97227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 – 24</w:t>
            </w:r>
          </w:p>
        </w:tc>
        <w:tc>
          <w:tcPr>
            <w:tcW w:w="3544" w:type="dxa"/>
          </w:tcPr>
          <w:p w14:paraId="602D1410">
            <w:pPr>
              <w:pStyle w:val="21"/>
              <w:spacing w:line="240" w:lineRule="auto"/>
              <w:ind w:right="8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14:paraId="18BA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6D432C08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Эксперт</w:t>
            </w:r>
          </w:p>
        </w:tc>
        <w:tc>
          <w:tcPr>
            <w:tcW w:w="3260" w:type="dxa"/>
          </w:tcPr>
          <w:p w14:paraId="44FD2225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 – 49</w:t>
            </w:r>
          </w:p>
        </w:tc>
        <w:tc>
          <w:tcPr>
            <w:tcW w:w="3544" w:type="dxa"/>
          </w:tcPr>
          <w:p w14:paraId="3E13CD5E">
            <w:pPr>
              <w:pStyle w:val="21"/>
              <w:spacing w:line="240" w:lineRule="auto"/>
              <w:ind w:right="8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14:paraId="2FAE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 w14:paraId="4C260D25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Мастер</w:t>
            </w:r>
          </w:p>
        </w:tc>
        <w:tc>
          <w:tcPr>
            <w:tcW w:w="3260" w:type="dxa"/>
          </w:tcPr>
          <w:p w14:paraId="6AD33342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более 50</w:t>
            </w:r>
          </w:p>
        </w:tc>
        <w:tc>
          <w:tcPr>
            <w:tcW w:w="3544" w:type="dxa"/>
          </w:tcPr>
          <w:p w14:paraId="43625D9E">
            <w:pPr>
              <w:pStyle w:val="21"/>
              <w:spacing w:line="240" w:lineRule="auto"/>
              <w:ind w:right="8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</w:tbl>
    <w:p w14:paraId="637503C3">
      <w:pPr>
        <w:pStyle w:val="21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80628F3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Сетевой бонус:</w:t>
      </w:r>
      <w:r>
        <w:rPr>
          <w:rFonts w:ascii="Times New Roman" w:hAnsi="Times New Roman" w:cs="Times New Roman"/>
          <w:lang w:val="ru-RU"/>
        </w:rPr>
        <w:t xml:space="preserve"> +3% от выручки по Клиентам, привлечённым партнёрами 1‑го уровня (суб‑рефералы).</w:t>
      </w:r>
    </w:p>
    <w:p w14:paraId="09299ABA">
      <w:pPr>
        <w:pStyle w:val="21"/>
        <w:jc w:val="both"/>
        <w:rPr>
          <w:rFonts w:ascii="Times New Roman" w:hAnsi="Times New Roman" w:cs="Times New Roman"/>
          <w:lang w:val="ru-RU"/>
        </w:rPr>
      </w:pPr>
    </w:p>
    <w:p w14:paraId="6F5DB842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3. Начисление и выплаты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7972AED7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Начисление и вывод вознаграждения.</w:t>
      </w:r>
    </w:p>
    <w:p w14:paraId="3FAA597A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3.1.1. Реферальное вознаграждение начисляется на Баланс Партнёра в Личном кабинете по факту поступления денежных средств от привлечённых Партнёром Клиентов в адрес Исполнителя.</w:t>
      </w:r>
    </w:p>
    <w:p w14:paraId="05378267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3.1.2. Начисление производится автоматически ежедневно; по отменённым/возвращённым транзакциям начисления подлежат сторнированию.</w:t>
      </w:r>
    </w:p>
    <w:p w14:paraId="3D925E2B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Вывод денежных средств возможен не чаще одного раза в календарный месяц по заявке Партнёра через Личный кабинет (нажатие кнопки «Вывести средства» и подтверждение операции по инструкции на Платформе). Допускается объединение нескольких периодов в одну заявку.</w:t>
      </w:r>
    </w:p>
    <w:p w14:paraId="33336CAA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Получатель средств — только юридическое лицо или индивидуальный предприниматель, являющиеся Партнёром. Перечисление осуществляется безналичным переводом на расчётный счёт, указанный Партнёром в Личном кабинете. Выплаты физическим лицам, включая самозанятых, не осуществляются.</w:t>
      </w:r>
    </w:p>
    <w:p w14:paraId="56DC95D1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Срок перечисления — в течение 10 (десяти) рабочих дней с даты подтверждения заявки Исполнителем. Валюта выплат — российский рубль. Банковские комиссии и расходы платёжных систем несёт Партнёр (удерживаются при перечислении либо уменьшают Баланс).</w:t>
      </w:r>
    </w:p>
    <w:p w14:paraId="676C4785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3.1.6. Налоги и иные обязательные платежи по полученному вознаграждению Партнёр исчисляет и уплачивает самостоятельно. Исполнитель не является налоговым агентом Партнёра, если иное прямо не предусмотрено законодательством РФ. Партнёр предоставляет закрывающие документы в порядке и объёме, установленном настоящей Офертой и законом.</w:t>
      </w:r>
    </w:p>
    <w:p w14:paraId="400095EE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3.1.7. Антифрод и проверки: Исполнитель вправе приостановить или отклонить заявку на вывод, запросить подтверждающие документы/реквизиты, а также удержать/сторнировать суммы при выявлении нарушений Программы (включая саморефералы, стимулированный/запрещённый трафик, спам), несоответствия реквизитов либо признаков подозрительных операций.</w:t>
      </w:r>
    </w:p>
    <w:p w14:paraId="7184926A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3.1.8. Корректировки: при возвратах/чарджбэках в течение 90 (девяноста) календарных дней с даты оплаты Клиентом соответствующие суммы удерживаются из Баланса Партнёра; при недостаточности Баланса формируется отрицательный Баланс, подлежащий погашению из последующих начислений.</w:t>
      </w:r>
    </w:p>
    <w:p w14:paraId="05F1ED3D">
      <w:pPr>
        <w:pStyle w:val="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3.1.9. Прочее: датой расчётов считается московское время (UTC+3). Округление — до 1 копейки. Состояние Баланса и история заявок доступны Партнёру в Личном кабинете. Срок действия начисленного вознаграждения не ограничен, если иное не установлено новой редакцией Программы.</w:t>
      </w:r>
    </w:p>
    <w:p w14:paraId="2D26F309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Атрибуция и окно действий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4A466ABF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4.1. Атрибуция по последнему непрямому клику по реферальной ссылке. Окно — 90 календарных дней с момента первого перехода.</w:t>
      </w:r>
    </w:p>
    <w:p w14:paraId="0A7A105C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4.2. Один Клиент может быть закреплён только за одним Партнёром. Перезакрепление — по заявлению Клиента при наличии явной ошибки.</w:t>
      </w:r>
    </w:p>
    <w:p w14:paraId="07D24D47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5. Ограничения</w:t>
      </w:r>
      <w:r>
        <w:rPr>
          <w:rFonts w:ascii="Times New Roman" w:hAnsi="Times New Roman" w:cs="Times New Roman"/>
          <w:lang w:val="ru-RU"/>
        </w:rPr>
        <w:t xml:space="preserve"> - Запрещены: контекстная реклама по брендовым запросам </w:t>
      </w:r>
      <w:r>
        <w:rPr>
          <w:rFonts w:ascii="Times New Roman" w:hAnsi="Times New Roman" w:cs="Times New Roman"/>
        </w:rPr>
        <w:t>Tenders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lang w:val="ru-RU"/>
        </w:rPr>
        <w:t xml:space="preserve"> без согласования; ввод в заблуждение; использование чужих товарных знаков; массовая рассылка без согласия; недобросовестные практики. Саморефералы и создание дубликатов аккаунтов запрещены.</w:t>
      </w:r>
    </w:p>
    <w:p w14:paraId="29EB4495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6. Прозрачность и отчётность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41B2CCEA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6.1. Статистика доступна в ЛК: переходы, регистрации, оплаты, начисления, выплаты.</w:t>
      </w:r>
    </w:p>
    <w:p w14:paraId="036BFD1C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7. Прочие условия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0D9D551">
      <w:pPr>
        <w:pStyle w:val="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7.1. Исполнитель вправе менять ставки/условия Программы с публикацией новой редакции; изменения не имеют обратной силы на уже подтверждённые начисления.</w:t>
      </w:r>
    </w:p>
    <w:p w14:paraId="1FD9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42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1"/>
    <w:p w14:paraId="70BD2B7A">
      <w:pPr>
        <w:pStyle w:val="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2" w:name="Xcfd422843449fdefcfe117858da40a4797bf5ca"/>
      <w:r>
        <w:rPr>
          <w:rFonts w:ascii="Times New Roman" w:hAnsi="Times New Roman" w:cs="Times New Roman"/>
          <w:sz w:val="32"/>
          <w:szCs w:val="32"/>
          <w:lang w:val="ru-RU"/>
        </w:rPr>
        <w:t>Приложение №3. Требования к Материалам и комплаенс в госзакупках</w:t>
      </w:r>
    </w:p>
    <w:p w14:paraId="2439D6E4">
      <w:pPr>
        <w:pStyle w:val="167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Клиент подтверждает, что имеет права на Материалы, и несёт риски, связанные с их размещением.</w:t>
      </w:r>
    </w:p>
    <w:p w14:paraId="59F5AE23">
      <w:pPr>
        <w:pStyle w:val="167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Платформа не заменяет экспертизу закупочной документации; соответствие заявке, опыт, СРО, БГ, ЭЦП и иные допуски Клиент обеспечивает самостоятельно.</w:t>
      </w:r>
    </w:p>
    <w:p w14:paraId="75BA4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43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</w:p>
    <w:bookmarkEnd w:id="2"/>
    <w:p w14:paraId="0752C963">
      <w:pPr>
        <w:pStyle w:val="2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3" w:name="Xd09cfeb5171528d7f8b9c4437b173e8a399fa70"/>
      <w:r>
        <w:rPr>
          <w:rFonts w:ascii="Times New Roman" w:hAnsi="Times New Roman" w:cs="Times New Roman"/>
          <w:sz w:val="32"/>
          <w:szCs w:val="32"/>
          <w:lang w:val="ru-RU"/>
        </w:rPr>
        <w:t xml:space="preserve">Приложение №4. </w:t>
      </w:r>
      <w:r>
        <w:rPr>
          <w:rFonts w:ascii="Times New Roman" w:hAnsi="Times New Roman" w:cs="Times New Roman"/>
          <w:sz w:val="32"/>
          <w:szCs w:val="32"/>
        </w:rPr>
        <w:t>SLA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(доступность и поддержка)</w:t>
      </w:r>
    </w:p>
    <w:p w14:paraId="0E04865A">
      <w:pPr>
        <w:pStyle w:val="167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Целевой уровень доступности Платформы — 99,5% в месяц (исключая плановые работы, </w:t>
      </w:r>
      <w:r>
        <w:rPr>
          <w:rFonts w:ascii="Times New Roman" w:hAnsi="Times New Roman" w:cs="Times New Roman"/>
          <w:sz w:val="22"/>
          <w:szCs w:val="22"/>
        </w:rPr>
        <w:t>DDoS</w:t>
      </w:r>
      <w:r>
        <w:rPr>
          <w:rFonts w:ascii="Times New Roman" w:hAnsi="Times New Roman" w:cs="Times New Roman"/>
          <w:sz w:val="22"/>
          <w:szCs w:val="22"/>
          <w:lang w:val="ru-RU"/>
        </w:rPr>
        <w:t>, сбои внешних провайдеров).</w:t>
      </w:r>
    </w:p>
    <w:p w14:paraId="5EA2E4B0">
      <w:pPr>
        <w:pStyle w:val="167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Плановые работы — преимущественно в ночное время (МСК), с уведомлением в ЛК не менее чем за 24 часа.</w:t>
      </w:r>
    </w:p>
    <w:p w14:paraId="2A2C2468">
      <w:pPr>
        <w:pStyle w:val="167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Каналы поддержки: чат в ЛК и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  <w:lang w:val="ru-RU"/>
        </w:rPr>
        <w:t>‑</w:t>
      </w:r>
      <w:r>
        <w:rPr>
          <w:rFonts w:ascii="Times New Roman" w:hAnsi="Times New Roman" w:cs="Times New Roman"/>
          <w:sz w:val="22"/>
          <w:szCs w:val="22"/>
        </w:rPr>
        <w:t>mail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support</w:t>
      </w:r>
      <w:r>
        <w:rPr>
          <w:rFonts w:ascii="Times New Roman" w:hAnsi="Times New Roman" w:cs="Times New Roman"/>
          <w:sz w:val="22"/>
          <w:szCs w:val="22"/>
          <w:lang w:val="ru-RU"/>
        </w:rPr>
        <w:t>@</w:t>
      </w:r>
      <w:r>
        <w:rPr>
          <w:rFonts w:ascii="Times New Roman" w:hAnsi="Times New Roman" w:cs="Times New Roman"/>
          <w:sz w:val="22"/>
          <w:szCs w:val="22"/>
        </w:rPr>
        <w:t>tenders</w:t>
      </w:r>
      <w:r>
        <w:rPr>
          <w:rFonts w:ascii="Times New Roman" w:hAnsi="Times New Roman" w:cs="Times New Roman"/>
          <w:sz w:val="22"/>
          <w:szCs w:val="22"/>
          <w:lang w:val="ru-RU"/>
        </w:rPr>
        <w:t>‑</w:t>
      </w:r>
      <w:r>
        <w:rPr>
          <w:rFonts w:ascii="Times New Roman" w:hAnsi="Times New Roman" w:cs="Times New Roman"/>
          <w:sz w:val="22"/>
          <w:szCs w:val="22"/>
        </w:rPr>
        <w:t>ai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</w:rPr>
        <w:t>ru</w:t>
      </w:r>
      <w:r>
        <w:rPr>
          <w:rFonts w:ascii="Times New Roman" w:hAnsi="Times New Roman" w:cs="Times New Roman"/>
          <w:sz w:val="22"/>
          <w:szCs w:val="22"/>
          <w:lang w:val="ru-RU"/>
        </w:rPr>
        <w:t>. Среднее время первого ответа — до 4 рабочих часов.</w:t>
      </w:r>
    </w:p>
    <w:p w14:paraId="7A7D75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44" o:spt="1" style="height:0.05pt;width:432.2pt;" coordsize="21600,21600" o:hr="t" o:hrstd="t" o:hrpct="924" o:hralign="center">
            <v:path/>
            <v:fill focussize="0,0"/>
            <v:stroke/>
            <v:imagedata o:title=""/>
            <o:lock v:ext="edit"/>
            <w10:wrap type="none"/>
            <w10:anchorlock/>
          </v:rect>
        </w:pict>
      </w:r>
      <w:bookmarkEnd w:id="3"/>
    </w:p>
    <w:p w14:paraId="5CAE260F">
      <w:pPr>
        <w:jc w:val="both"/>
        <w:rPr>
          <w:rFonts w:ascii="Times New Roman" w:hAnsi="Times New Roman" w:cs="Times New Roman"/>
          <w:lang w:val="ru-RU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pdFont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02AD"/>
    <w:rsid w:val="0015074B"/>
    <w:rsid w:val="0029639D"/>
    <w:rsid w:val="00306808"/>
    <w:rsid w:val="00326F90"/>
    <w:rsid w:val="006417A7"/>
    <w:rsid w:val="00960BD8"/>
    <w:rsid w:val="009764F3"/>
    <w:rsid w:val="00AA1D8D"/>
    <w:rsid w:val="00B47730"/>
    <w:rsid w:val="00B91376"/>
    <w:rsid w:val="00CB0664"/>
    <w:rsid w:val="00FC693F"/>
    <w:rsid w:val="03AD1D96"/>
    <w:rsid w:val="13AC0FD3"/>
    <w:rsid w:val="532064EF"/>
    <w:rsid w:val="7E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7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0">
    <w:name w:val="head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Body Text"/>
    <w:basedOn w:val="1"/>
    <w:link w:val="48"/>
    <w:unhideWhenUsed/>
    <w:qFormat/>
    <w:uiPriority w:val="99"/>
    <w:pPr>
      <w:spacing w:after="120"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6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7">
    <w:name w:val="footer"/>
    <w:basedOn w:val="1"/>
    <w:link w:val="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9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32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33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6">
    <w:name w:val="List 2"/>
    <w:basedOn w:val="1"/>
    <w:unhideWhenUsed/>
    <w:uiPriority w:val="99"/>
    <w:pPr>
      <w:ind w:left="720" w:hanging="360"/>
      <w:contextualSpacing/>
    </w:pPr>
  </w:style>
  <w:style w:type="paragraph" w:styleId="37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Верхний колонтитул Знак"/>
    <w:basedOn w:val="11"/>
    <w:link w:val="20"/>
    <w:qFormat/>
    <w:uiPriority w:val="99"/>
  </w:style>
  <w:style w:type="character" w:customStyle="1" w:styleId="40">
    <w:name w:val="Нижний колонтитул Знак"/>
    <w:basedOn w:val="11"/>
    <w:link w:val="27"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Заголовок Знак"/>
    <w:basedOn w:val="11"/>
    <w:link w:val="2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Подзаголовок Знак"/>
    <w:basedOn w:val="11"/>
    <w:link w:val="3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Основной текст Знак"/>
    <w:basedOn w:val="11"/>
    <w:link w:val="21"/>
    <w:uiPriority w:val="99"/>
  </w:style>
  <w:style w:type="character" w:customStyle="1" w:styleId="49">
    <w:name w:val="Основной текст 2 Знак"/>
    <w:basedOn w:val="11"/>
    <w:link w:val="17"/>
    <w:qFormat/>
    <w:uiPriority w:val="99"/>
  </w:style>
  <w:style w:type="character" w:customStyle="1" w:styleId="50">
    <w:name w:val="Основной текст 3 Знак"/>
    <w:basedOn w:val="11"/>
    <w:link w:val="32"/>
    <w:qFormat/>
    <w:uiPriority w:val="99"/>
    <w:rPr>
      <w:sz w:val="16"/>
      <w:szCs w:val="16"/>
    </w:rPr>
  </w:style>
  <w:style w:type="character" w:customStyle="1" w:styleId="51">
    <w:name w:val="Текст макроса Знак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Цитата 2 Знак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Выделенная цитата Знак"/>
    <w:basedOn w:val="11"/>
    <w:link w:val="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First Paragraph"/>
    <w:basedOn w:val="21"/>
    <w:next w:val="21"/>
    <w:qFormat/>
    <w:uiPriority w:val="0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167">
    <w:name w:val="Compact"/>
    <w:basedOn w:val="21"/>
    <w:qFormat/>
    <w:uiPriority w:val="0"/>
    <w:pPr>
      <w:spacing w:before="36" w:after="36" w:line="240" w:lineRule="auto"/>
    </w:pPr>
    <w:rPr>
      <w:rFonts w:eastAsiaTheme="minorHAnsi"/>
      <w:sz w:val="24"/>
      <w:szCs w:val="24"/>
    </w:rPr>
  </w:style>
  <w:style w:type="table" w:customStyle="1" w:styleId="168">
    <w:name w:val="Table"/>
    <w:semiHidden/>
    <w:unhideWhenUsed/>
    <w:qFormat/>
    <w:uiPriority w:val="0"/>
    <w:pPr>
      <w:spacing w:line="240" w:lineRule="auto"/>
    </w:pPr>
    <w:rPr>
      <w:rFonts w:eastAsiaTheme="minorHAnsi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2791</Words>
  <Characters>15913</Characters>
  <Lines>132</Lines>
  <Paragraphs>37</Paragraphs>
  <TotalTime>0</TotalTime>
  <ScaleCrop>false</ScaleCrop>
  <LinksUpToDate>false</LinksUpToDate>
  <CharactersWithSpaces>18667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2025-11-21T08:13:00Z</dcterms:created>
  <dc:creator>python-docx</dc:creator>
  <dc:description>generated by python-docx</dc:description>
  <cp:lastModifiedBy>Lenovo</cp:lastModifiedBy>
  <dcterms:modified xsi:type="dcterms:W3CDTF">2025-11-21T09:27:42Z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1CB917FB610E40928FE2DCF9A97D4E56_13</vt:lpwstr>
  </property>
</Properties>
</file>